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480" w:firstLineChars="200"/>
        <w:rPr>
          <w:rFonts w:ascii="Times New Roman" w:hAnsi="Times New Roman" w:cs="Times New Roman"/>
          <w:sz w:val="24"/>
          <w:szCs w:val="24"/>
        </w:rPr>
      </w:pPr>
    </w:p>
    <w:p>
      <w:pPr>
        <w:spacing w:line="360" w:lineRule="auto"/>
        <w:jc w:val="center"/>
        <w:rPr>
          <w:rFonts w:ascii="华文中宋" w:hAnsi="华文中宋" w:eastAsia="华文中宋" w:cs="Times New Roman"/>
          <w:b/>
          <w:color w:val="000000"/>
          <w:kern w:val="0"/>
          <w:sz w:val="52"/>
          <w:szCs w:val="52"/>
        </w:rPr>
      </w:pPr>
      <w:r>
        <w:rPr>
          <w:rFonts w:hint="eastAsia" w:ascii="华文中宋" w:hAnsi="华文中宋" w:eastAsia="华文中宋" w:cs="Times New Roman"/>
          <w:b/>
          <w:color w:val="000000"/>
          <w:kern w:val="0"/>
          <w:sz w:val="52"/>
          <w:szCs w:val="52"/>
        </w:rPr>
        <w:t xml:space="preserve">鹤 山 </w:t>
      </w:r>
      <w:r>
        <w:rPr>
          <w:rFonts w:ascii="华文中宋" w:hAnsi="华文中宋" w:eastAsia="华文中宋" w:cs="Times New Roman"/>
          <w:b/>
          <w:color w:val="000000"/>
          <w:kern w:val="0"/>
          <w:sz w:val="52"/>
          <w:szCs w:val="52"/>
        </w:rPr>
        <w:t>市</w:t>
      </w:r>
      <w:r>
        <w:rPr>
          <w:rFonts w:hint="eastAsia" w:ascii="华文中宋" w:hAnsi="华文中宋" w:eastAsia="华文中宋" w:cs="Times New Roman"/>
          <w:b/>
          <w:color w:val="000000"/>
          <w:kern w:val="0"/>
          <w:sz w:val="52"/>
          <w:szCs w:val="52"/>
        </w:rPr>
        <w:t xml:space="preserve"> 智 慧 停 车 项 目</w:t>
      </w:r>
    </w:p>
    <w:p>
      <w:pPr>
        <w:spacing w:line="360" w:lineRule="auto"/>
        <w:jc w:val="center"/>
        <w:rPr>
          <w:rFonts w:ascii="Times New Roman" w:hAnsi="Times New Roman" w:eastAsia="微软雅黑" w:cs="Times New Roman"/>
          <w:b/>
          <w:color w:val="000000"/>
          <w:kern w:val="0"/>
          <w:sz w:val="52"/>
          <w:szCs w:val="52"/>
        </w:rPr>
      </w:pPr>
    </w:p>
    <w:p>
      <w:pPr>
        <w:spacing w:line="360" w:lineRule="auto"/>
        <w:jc w:val="center"/>
        <w:rPr>
          <w:rFonts w:ascii="Times New Roman" w:hAnsi="Times New Roman" w:eastAsia="微软雅黑" w:cs="Times New Roman"/>
          <w:b/>
          <w:color w:val="000000"/>
          <w:kern w:val="0"/>
          <w:sz w:val="52"/>
          <w:szCs w:val="52"/>
        </w:rPr>
      </w:pPr>
    </w:p>
    <w:p>
      <w:pPr>
        <w:spacing w:line="360" w:lineRule="auto"/>
        <w:jc w:val="center"/>
        <w:rPr>
          <w:rFonts w:ascii="Times New Roman" w:hAnsi="Times New Roman" w:eastAsia="微软雅黑" w:cs="Times New Roman"/>
          <w:b/>
          <w:color w:val="000000"/>
          <w:kern w:val="0"/>
          <w:sz w:val="52"/>
          <w:szCs w:val="52"/>
        </w:rPr>
      </w:pPr>
    </w:p>
    <w:p>
      <w:pPr>
        <w:spacing w:line="360" w:lineRule="auto"/>
        <w:jc w:val="center"/>
        <w:rPr>
          <w:rFonts w:ascii="Times New Roman" w:hAnsi="Times New Roman" w:eastAsia="微软雅黑" w:cs="Times New Roman"/>
          <w:b/>
          <w:color w:val="000000"/>
          <w:kern w:val="0"/>
          <w:sz w:val="72"/>
          <w:szCs w:val="52"/>
        </w:rPr>
      </w:pPr>
      <w:r>
        <w:rPr>
          <w:rFonts w:ascii="Times New Roman" w:hAnsi="Times New Roman" w:eastAsia="微软雅黑" w:cs="Times New Roman"/>
          <w:b/>
          <w:color w:val="000000"/>
          <w:kern w:val="0"/>
          <w:sz w:val="72"/>
          <w:szCs w:val="52"/>
        </w:rPr>
        <w:t>实</w:t>
      </w:r>
    </w:p>
    <w:p>
      <w:pPr>
        <w:spacing w:line="360" w:lineRule="auto"/>
        <w:jc w:val="center"/>
        <w:rPr>
          <w:rFonts w:ascii="Times New Roman" w:hAnsi="Times New Roman" w:eastAsia="微软雅黑" w:cs="Times New Roman"/>
          <w:b/>
          <w:color w:val="000000"/>
          <w:kern w:val="0"/>
          <w:sz w:val="72"/>
          <w:szCs w:val="52"/>
        </w:rPr>
      </w:pPr>
      <w:r>
        <w:rPr>
          <w:rFonts w:ascii="Times New Roman" w:hAnsi="Times New Roman" w:eastAsia="微软雅黑" w:cs="Times New Roman"/>
          <w:b/>
          <w:color w:val="000000"/>
          <w:kern w:val="0"/>
          <w:sz w:val="72"/>
          <w:szCs w:val="52"/>
        </w:rPr>
        <w:t>施</w:t>
      </w:r>
    </w:p>
    <w:p>
      <w:pPr>
        <w:spacing w:line="360" w:lineRule="auto"/>
        <w:jc w:val="center"/>
        <w:rPr>
          <w:rFonts w:ascii="Times New Roman" w:hAnsi="Times New Roman" w:eastAsia="微软雅黑" w:cs="Times New Roman"/>
          <w:b/>
          <w:color w:val="000000"/>
          <w:kern w:val="0"/>
          <w:sz w:val="72"/>
          <w:szCs w:val="52"/>
        </w:rPr>
      </w:pPr>
      <w:r>
        <w:rPr>
          <w:rFonts w:ascii="Times New Roman" w:hAnsi="Times New Roman" w:eastAsia="微软雅黑" w:cs="Times New Roman"/>
          <w:b/>
          <w:color w:val="000000"/>
          <w:kern w:val="0"/>
          <w:sz w:val="72"/>
          <w:szCs w:val="52"/>
        </w:rPr>
        <w:t>方</w:t>
      </w:r>
    </w:p>
    <w:p>
      <w:pPr>
        <w:spacing w:line="360" w:lineRule="auto"/>
        <w:jc w:val="center"/>
        <w:rPr>
          <w:rFonts w:ascii="Times New Roman" w:hAnsi="Times New Roman" w:eastAsia="微软雅黑" w:cs="Times New Roman"/>
          <w:b/>
          <w:color w:val="000000"/>
          <w:kern w:val="0"/>
          <w:sz w:val="72"/>
          <w:szCs w:val="52"/>
        </w:rPr>
      </w:pPr>
      <w:r>
        <w:rPr>
          <w:rFonts w:ascii="Times New Roman" w:hAnsi="Times New Roman" w:eastAsia="微软雅黑" w:cs="Times New Roman"/>
          <w:b/>
          <w:color w:val="000000"/>
          <w:kern w:val="0"/>
          <w:sz w:val="72"/>
          <w:szCs w:val="52"/>
        </w:rPr>
        <w:t>案</w:t>
      </w:r>
    </w:p>
    <w:p>
      <w:pPr>
        <w:spacing w:line="360" w:lineRule="auto"/>
        <w:jc w:val="center"/>
        <w:rPr>
          <w:rFonts w:ascii="Times New Roman" w:hAnsi="Times New Roman" w:eastAsia="宋体" w:cs="Times New Roman"/>
          <w:b/>
          <w:color w:val="000000"/>
          <w:kern w:val="0"/>
          <w:sz w:val="52"/>
          <w:szCs w:val="52"/>
        </w:rPr>
      </w:pPr>
    </w:p>
    <w:p>
      <w:pPr>
        <w:spacing w:line="360" w:lineRule="auto"/>
        <w:jc w:val="center"/>
        <w:rPr>
          <w:rFonts w:ascii="Times New Roman" w:hAnsi="Times New Roman" w:eastAsia="宋体" w:cs="Times New Roman"/>
          <w:b/>
          <w:color w:val="000000"/>
          <w:kern w:val="0"/>
          <w:sz w:val="52"/>
          <w:szCs w:val="52"/>
        </w:rPr>
      </w:pPr>
    </w:p>
    <w:p>
      <w:pPr>
        <w:spacing w:line="360" w:lineRule="auto"/>
        <w:jc w:val="center"/>
        <w:rPr>
          <w:rFonts w:ascii="Times New Roman" w:hAnsi="Times New Roman" w:eastAsia="宋体" w:cs="Times New Roman"/>
          <w:b/>
          <w:color w:val="000000"/>
          <w:kern w:val="0"/>
          <w:sz w:val="52"/>
          <w:szCs w:val="52"/>
        </w:rPr>
      </w:pPr>
    </w:p>
    <w:p>
      <w:pPr>
        <w:spacing w:line="360" w:lineRule="auto"/>
        <w:jc w:val="center"/>
        <w:rPr>
          <w:rFonts w:ascii="Times New Roman" w:hAnsi="Times New Roman" w:eastAsia="宋体" w:cs="Times New Roman"/>
          <w:b/>
          <w:color w:val="000000"/>
          <w:kern w:val="0"/>
          <w:sz w:val="52"/>
          <w:szCs w:val="52"/>
        </w:rPr>
      </w:pPr>
    </w:p>
    <w:p>
      <w:pPr>
        <w:spacing w:line="360" w:lineRule="auto"/>
        <w:jc w:val="center"/>
        <w:rPr>
          <w:rFonts w:ascii="Times New Roman" w:hAnsi="Times New Roman" w:eastAsia="宋体" w:cs="Times New Roman"/>
          <w:b/>
          <w:color w:val="000000"/>
          <w:kern w:val="0"/>
          <w:sz w:val="52"/>
          <w:szCs w:val="52"/>
        </w:rPr>
      </w:pPr>
    </w:p>
    <w:p>
      <w:pPr>
        <w:spacing w:line="360" w:lineRule="auto"/>
        <w:jc w:val="center"/>
        <w:rPr>
          <w:rFonts w:ascii="Times New Roman" w:hAnsi="Times New Roman" w:eastAsia="宋体" w:cs="Times New Roman"/>
          <w:b/>
          <w:color w:val="000000"/>
          <w:kern w:val="0"/>
          <w:sz w:val="36"/>
          <w:szCs w:val="36"/>
        </w:rPr>
      </w:pPr>
      <w:r>
        <w:rPr>
          <w:rFonts w:hint="eastAsia" w:ascii="Times New Roman" w:hAnsi="Times New Roman" w:eastAsia="宋体" w:cs="Times New Roman"/>
          <w:b/>
          <w:color w:val="000000"/>
          <w:kern w:val="0"/>
          <w:sz w:val="36"/>
          <w:szCs w:val="36"/>
        </w:rPr>
        <w:t>广东人信工程咨询</w:t>
      </w:r>
      <w:r>
        <w:rPr>
          <w:rFonts w:ascii="Times New Roman" w:hAnsi="Times New Roman" w:eastAsia="宋体" w:cs="Times New Roman"/>
          <w:b/>
          <w:color w:val="000000"/>
          <w:kern w:val="0"/>
          <w:sz w:val="36"/>
          <w:szCs w:val="36"/>
        </w:rPr>
        <w:t>有限公司</w:t>
      </w:r>
    </w:p>
    <w:p>
      <w:pPr>
        <w:spacing w:line="360" w:lineRule="auto"/>
        <w:jc w:val="center"/>
        <w:rPr>
          <w:rFonts w:ascii="Times New Roman" w:hAnsi="Times New Roman" w:eastAsia="宋体" w:cs="Times New Roman"/>
          <w:b/>
          <w:color w:val="000000"/>
          <w:kern w:val="0"/>
          <w:sz w:val="36"/>
          <w:szCs w:val="36"/>
        </w:rPr>
      </w:pPr>
      <w:r>
        <w:rPr>
          <w:rFonts w:ascii="Times New Roman" w:hAnsi="Times New Roman" w:eastAsia="宋体" w:cs="Times New Roman"/>
          <w:b/>
          <w:color w:val="000000"/>
          <w:kern w:val="0"/>
          <w:sz w:val="36"/>
          <w:szCs w:val="36"/>
        </w:rPr>
        <w:t>二〇二一年</w:t>
      </w:r>
      <w:r>
        <w:rPr>
          <w:rFonts w:hint="eastAsia" w:ascii="Times New Roman" w:hAnsi="Times New Roman" w:eastAsia="宋体" w:cs="Times New Roman"/>
          <w:b/>
          <w:color w:val="000000"/>
          <w:kern w:val="0"/>
          <w:sz w:val="36"/>
          <w:szCs w:val="36"/>
        </w:rPr>
        <w:t>八</w:t>
      </w:r>
      <w:r>
        <w:rPr>
          <w:rFonts w:ascii="Times New Roman" w:hAnsi="Times New Roman" w:eastAsia="宋体" w:cs="Times New Roman"/>
          <w:b/>
          <w:color w:val="000000"/>
          <w:kern w:val="0"/>
          <w:sz w:val="36"/>
          <w:szCs w:val="36"/>
        </w:rPr>
        <w:t>月</w:t>
      </w:r>
    </w:p>
    <w:p>
      <w:pPr>
        <w:spacing w:line="360" w:lineRule="auto"/>
        <w:jc w:val="center"/>
        <w:rPr>
          <w:rFonts w:ascii="Times New Roman" w:hAnsi="Times New Roman" w:eastAsia="宋体" w:cs="Times New Roman"/>
          <w:b/>
          <w:color w:val="000000"/>
          <w:kern w:val="0"/>
          <w:sz w:val="36"/>
          <w:szCs w:val="36"/>
        </w:rPr>
      </w:pPr>
    </w:p>
    <w:p>
      <w:pPr>
        <w:spacing w:line="360" w:lineRule="auto"/>
        <w:rPr>
          <w:rFonts w:ascii="Times New Roman" w:hAnsi="Times New Roman" w:eastAsia="宋体" w:cs="Times New Roman"/>
          <w:b/>
          <w:color w:val="000000"/>
          <w:kern w:val="0"/>
          <w:sz w:val="36"/>
          <w:szCs w:val="36"/>
        </w:rPr>
      </w:pPr>
    </w:p>
    <w:p>
      <w:pPr>
        <w:spacing w:line="360" w:lineRule="auto"/>
        <w:jc w:val="center"/>
        <w:rPr>
          <w:rFonts w:ascii="Times New Roman" w:hAnsi="Times New Roman" w:eastAsia="宋体" w:cs="Times New Roman"/>
          <w:b/>
          <w:color w:val="000000"/>
          <w:kern w:val="0"/>
          <w:sz w:val="36"/>
          <w:szCs w:val="36"/>
        </w:rPr>
        <w:sectPr>
          <w:footerReference r:id="rId3" w:type="default"/>
          <w:pgSz w:w="11906" w:h="16838"/>
          <w:pgMar w:top="1440" w:right="1440" w:bottom="1440" w:left="1440" w:header="851" w:footer="992" w:gutter="0"/>
          <w:pgNumType w:start="1"/>
          <w:cols w:space="425" w:num="1"/>
          <w:docGrid w:type="lines" w:linePitch="312" w:charSpace="0"/>
        </w:sectPr>
      </w:pPr>
      <w:r>
        <w:rPr>
          <w:rFonts w:hint="eastAsia" w:ascii="Times New Roman" w:hAnsi="Times New Roman" w:eastAsia="宋体" w:cs="Times New Roman"/>
          <w:b/>
          <w:color w:val="000000"/>
          <w:kern w:val="0"/>
          <w:sz w:val="36"/>
          <w:szCs w:val="36"/>
        </w:rPr>
        <w:drawing>
          <wp:inline distT="0" distB="0" distL="114300" distR="114300">
            <wp:extent cx="8298180" cy="5868035"/>
            <wp:effectExtent l="0" t="0" r="18415" b="7620"/>
            <wp:docPr id="4" name="图片 4" descr="营业执照副本（10-01）-总公司专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营业执照副本（10-01）-总公司专用1"/>
                    <pic:cNvPicPr>
                      <a:picLocks noChangeAspect="1"/>
                    </pic:cNvPicPr>
                  </pic:nvPicPr>
                  <pic:blipFill>
                    <a:blip r:embed="rId6"/>
                    <a:stretch>
                      <a:fillRect/>
                    </a:stretch>
                  </pic:blipFill>
                  <pic:spPr>
                    <a:xfrm rot="5400000">
                      <a:off x="0" y="0"/>
                      <a:ext cx="8298180" cy="5868035"/>
                    </a:xfrm>
                    <a:prstGeom prst="rect">
                      <a:avLst/>
                    </a:prstGeom>
                  </pic:spPr>
                </pic:pic>
              </a:graphicData>
            </a:graphic>
          </wp:inline>
        </w:drawing>
      </w:r>
    </w:p>
    <w:p>
      <w:pPr>
        <w:rPr>
          <w:rFonts w:ascii="Times New Roman" w:hAnsi="Times New Roman" w:eastAsia="微软雅黑" w:cs="Times New Roman"/>
          <w:b/>
          <w:color w:val="000000"/>
          <w:kern w:val="0"/>
          <w:sz w:val="32"/>
          <w:szCs w:val="24"/>
        </w:rPr>
      </w:pPr>
      <w:r>
        <w:rPr>
          <w:rFonts w:hint="eastAsia" w:ascii="Times New Roman" w:hAnsi="Times New Roman" w:eastAsia="微软雅黑" w:cs="Times New Roman"/>
          <w:b/>
          <w:color w:val="000000"/>
          <w:kern w:val="0"/>
          <w:sz w:val="32"/>
          <w:szCs w:val="24"/>
        </w:rPr>
        <w:drawing>
          <wp:inline distT="0" distB="0" distL="114300" distR="114300">
            <wp:extent cx="5984240" cy="8468995"/>
            <wp:effectExtent l="0" t="0" r="16510" b="8255"/>
            <wp:docPr id="9" name="图片 9" descr="工程咨询单位乙级资信证书（2021年9月24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工程咨询单位乙级资信证书（2021年9月24日）"/>
                    <pic:cNvPicPr>
                      <a:picLocks noChangeAspect="1"/>
                    </pic:cNvPicPr>
                  </pic:nvPicPr>
                  <pic:blipFill>
                    <a:blip r:embed="rId7"/>
                    <a:stretch>
                      <a:fillRect/>
                    </a:stretch>
                  </pic:blipFill>
                  <pic:spPr>
                    <a:xfrm>
                      <a:off x="0" y="0"/>
                      <a:ext cx="5984240" cy="8468995"/>
                    </a:xfrm>
                    <a:prstGeom prst="rect">
                      <a:avLst/>
                    </a:prstGeom>
                  </pic:spPr>
                </pic:pic>
              </a:graphicData>
            </a:graphic>
          </wp:inline>
        </w:drawing>
      </w:r>
    </w:p>
    <w:p>
      <w:pPr>
        <w:widowControl/>
        <w:snapToGrid w:val="0"/>
        <w:jc w:val="center"/>
        <w:rPr>
          <w:rFonts w:ascii="黑体" w:hAnsi="宋体" w:eastAsia="黑体" w:cs="宋体"/>
          <w:b/>
          <w:bCs/>
          <w:kern w:val="0"/>
          <w:sz w:val="44"/>
          <w:szCs w:val="44"/>
        </w:rPr>
      </w:pPr>
      <w:r>
        <w:rPr>
          <w:rFonts w:ascii="Times New Roman" w:hAnsi="Times New Roman" w:eastAsia="微软雅黑" w:cs="Times New Roman"/>
          <w:b/>
          <w:color w:val="000000"/>
          <w:kern w:val="0"/>
          <w:sz w:val="32"/>
          <w:szCs w:val="24"/>
        </w:rPr>
        <w:br w:type="page"/>
      </w:r>
      <w:r>
        <w:rPr>
          <w:rFonts w:hint="eastAsia" w:ascii="黑体" w:hAnsi="宋体" w:eastAsia="黑体" w:cs="宋体"/>
          <w:b/>
          <w:bCs/>
          <w:kern w:val="0"/>
          <w:sz w:val="44"/>
          <w:szCs w:val="44"/>
        </w:rPr>
        <w:t>编  制  人  员</w:t>
      </w:r>
    </w:p>
    <w:p>
      <w:pPr>
        <w:spacing w:before="156" w:beforeLines="50" w:line="360" w:lineRule="auto"/>
        <w:jc w:val="center"/>
        <w:rPr>
          <w:rFonts w:ascii="宋体" w:hAnsi="宋体"/>
          <w:b/>
          <w:bCs/>
          <w:sz w:val="28"/>
          <w:szCs w:val="28"/>
        </w:rPr>
      </w:pPr>
    </w:p>
    <w:p>
      <w:pPr>
        <w:spacing w:before="156" w:beforeLines="50" w:line="360" w:lineRule="auto"/>
        <w:jc w:val="center"/>
        <w:rPr>
          <w:rFonts w:ascii="宋体" w:hAnsi="宋体"/>
          <w:b/>
          <w:bCs/>
          <w:sz w:val="28"/>
          <w:szCs w:val="28"/>
        </w:rPr>
      </w:pPr>
      <w:r>
        <w:rPr>
          <w:rFonts w:hint="eastAsia" w:ascii="宋体" w:hAnsi="宋体"/>
          <w:b/>
          <w:bCs/>
          <w:sz w:val="28"/>
          <w:szCs w:val="28"/>
        </w:rPr>
        <w:t>项目负责人：  樊向玲  高级工程师   注册咨询工程师</w:t>
      </w:r>
    </w:p>
    <w:p>
      <w:pPr>
        <w:spacing w:before="156" w:beforeLines="50" w:line="360" w:lineRule="auto"/>
        <w:jc w:val="center"/>
        <w:rPr>
          <w:rFonts w:ascii="宋体" w:hAnsi="宋体"/>
          <w:b/>
          <w:bCs/>
          <w:sz w:val="28"/>
          <w:szCs w:val="28"/>
        </w:rPr>
      </w:pPr>
      <w:r>
        <w:rPr>
          <w:rFonts w:hint="eastAsia" w:ascii="宋体" w:hAnsi="宋体"/>
          <w:b/>
          <w:bCs/>
          <w:sz w:val="28"/>
          <w:szCs w:val="28"/>
        </w:rPr>
        <w:t xml:space="preserve">                          注册造价工程师  一级注册建造师</w:t>
      </w:r>
    </w:p>
    <w:p>
      <w:pPr>
        <w:tabs>
          <w:tab w:val="left" w:pos="1980"/>
        </w:tabs>
        <w:spacing w:line="360" w:lineRule="auto"/>
        <w:ind w:right="-174" w:rightChars="-83"/>
        <w:jc w:val="center"/>
        <w:rPr>
          <w:rFonts w:ascii="宋体" w:hAnsi="宋体"/>
          <w:b/>
          <w:bCs/>
          <w:sz w:val="28"/>
          <w:szCs w:val="28"/>
        </w:rPr>
      </w:pPr>
      <w:r>
        <w:rPr>
          <w:rFonts w:hint="eastAsia" w:ascii="宋体" w:hAnsi="宋体"/>
          <w:b/>
          <w:bCs/>
          <w:sz w:val="28"/>
          <w:szCs w:val="28"/>
        </w:rPr>
        <w:t>编制人员：   王富辉   高级工程师  注册咨询工程师</w:t>
      </w:r>
    </w:p>
    <w:p>
      <w:pPr>
        <w:tabs>
          <w:tab w:val="left" w:pos="1980"/>
        </w:tabs>
        <w:spacing w:line="360" w:lineRule="auto"/>
        <w:ind w:right="-174" w:rightChars="-83"/>
        <w:jc w:val="center"/>
        <w:rPr>
          <w:rFonts w:ascii="宋体" w:hAnsi="宋体"/>
          <w:b/>
          <w:bCs/>
          <w:sz w:val="28"/>
          <w:szCs w:val="28"/>
        </w:rPr>
      </w:pPr>
      <w:r>
        <w:rPr>
          <w:rFonts w:hint="eastAsia" w:ascii="宋体" w:hAnsi="宋体"/>
          <w:b/>
          <w:bCs/>
          <w:sz w:val="28"/>
          <w:szCs w:val="28"/>
        </w:rPr>
        <w:t xml:space="preserve">             林  升   高级工程师  注册造价工程师</w:t>
      </w:r>
    </w:p>
    <w:p>
      <w:pPr>
        <w:tabs>
          <w:tab w:val="left" w:pos="1980"/>
        </w:tabs>
        <w:spacing w:line="360" w:lineRule="auto"/>
        <w:ind w:right="-174" w:rightChars="-83"/>
        <w:jc w:val="center"/>
        <w:rPr>
          <w:rFonts w:ascii="宋体" w:hAnsi="宋体"/>
          <w:b/>
          <w:bCs/>
          <w:sz w:val="28"/>
          <w:szCs w:val="28"/>
        </w:rPr>
      </w:pPr>
      <w:r>
        <w:rPr>
          <w:rFonts w:hint="eastAsia" w:ascii="宋体" w:hAnsi="宋体"/>
          <w:b/>
          <w:bCs/>
          <w:sz w:val="28"/>
          <w:szCs w:val="28"/>
        </w:rPr>
        <w:t xml:space="preserve">              陈朝阳   高级工程师  注册咨询工程师</w:t>
      </w:r>
    </w:p>
    <w:p>
      <w:pPr>
        <w:tabs>
          <w:tab w:val="left" w:pos="1980"/>
        </w:tabs>
        <w:spacing w:line="360" w:lineRule="auto"/>
        <w:ind w:right="-174" w:rightChars="-83"/>
        <w:jc w:val="left"/>
        <w:rPr>
          <w:rFonts w:ascii="宋体" w:hAnsi="宋体"/>
          <w:b/>
          <w:bCs/>
          <w:sz w:val="28"/>
          <w:szCs w:val="28"/>
        </w:rPr>
      </w:pPr>
      <w:r>
        <w:rPr>
          <w:rFonts w:hint="eastAsia" w:ascii="宋体" w:hAnsi="宋体"/>
          <w:b/>
          <w:bCs/>
          <w:sz w:val="28"/>
          <w:szCs w:val="28"/>
        </w:rPr>
        <w:t xml:space="preserve">                      陈永涛    中级工程师</w:t>
      </w:r>
    </w:p>
    <w:p>
      <w:pPr>
        <w:tabs>
          <w:tab w:val="left" w:pos="1980"/>
        </w:tabs>
        <w:spacing w:line="360" w:lineRule="auto"/>
        <w:ind w:right="-174" w:rightChars="-83"/>
        <w:jc w:val="left"/>
        <w:rPr>
          <w:rFonts w:ascii="宋体" w:hAnsi="宋体"/>
          <w:b/>
          <w:bCs/>
          <w:sz w:val="28"/>
          <w:szCs w:val="28"/>
        </w:rPr>
      </w:pPr>
      <w:r>
        <w:rPr>
          <w:rFonts w:hint="eastAsia" w:ascii="宋体" w:hAnsi="宋体"/>
          <w:b/>
          <w:bCs/>
          <w:sz w:val="28"/>
          <w:szCs w:val="28"/>
        </w:rPr>
        <w:t xml:space="preserve">                      沈锐燕    中级工程师</w:t>
      </w:r>
    </w:p>
    <w:p>
      <w:pPr>
        <w:tabs>
          <w:tab w:val="left" w:pos="1980"/>
        </w:tabs>
        <w:spacing w:line="360" w:lineRule="auto"/>
        <w:ind w:right="-174" w:rightChars="-83"/>
        <w:jc w:val="left"/>
        <w:rPr>
          <w:rFonts w:ascii="宋体" w:hAnsi="宋体"/>
          <w:b/>
          <w:bCs/>
          <w:sz w:val="28"/>
          <w:szCs w:val="28"/>
        </w:rPr>
      </w:pPr>
      <w:r>
        <w:rPr>
          <w:rFonts w:hint="eastAsia" w:ascii="宋体" w:hAnsi="宋体"/>
          <w:b/>
          <w:bCs/>
          <w:sz w:val="28"/>
          <w:szCs w:val="28"/>
        </w:rPr>
        <w:t xml:space="preserve">                      唐楚雄    助理工程师</w:t>
      </w:r>
    </w:p>
    <w:p>
      <w:pPr>
        <w:tabs>
          <w:tab w:val="left" w:pos="1980"/>
        </w:tabs>
        <w:spacing w:line="360" w:lineRule="auto"/>
        <w:ind w:right="-174" w:rightChars="-83"/>
        <w:jc w:val="left"/>
        <w:rPr>
          <w:rFonts w:ascii="宋体" w:hAnsi="宋体"/>
          <w:b/>
          <w:bCs/>
          <w:sz w:val="28"/>
          <w:szCs w:val="28"/>
        </w:rPr>
      </w:pPr>
      <w:r>
        <w:rPr>
          <w:rFonts w:hint="eastAsia" w:ascii="宋体" w:hAnsi="宋体"/>
          <w:b/>
          <w:bCs/>
          <w:sz w:val="28"/>
          <w:szCs w:val="28"/>
        </w:rPr>
        <w:t xml:space="preserve">                      刘欣怡    助理工程师</w:t>
      </w:r>
    </w:p>
    <w:p>
      <w:pPr>
        <w:spacing w:before="156" w:beforeLines="50" w:line="360" w:lineRule="auto"/>
        <w:ind w:firstLine="1124" w:firstLineChars="400"/>
        <w:jc w:val="center"/>
        <w:rPr>
          <w:rFonts w:ascii="宋体" w:hAnsi="宋体"/>
          <w:b/>
          <w:bCs/>
          <w:sz w:val="28"/>
          <w:szCs w:val="28"/>
        </w:rPr>
      </w:pPr>
    </w:p>
    <w:p>
      <w:pPr>
        <w:spacing w:before="156" w:beforeLines="50" w:line="360" w:lineRule="auto"/>
        <w:ind w:firstLine="1124" w:firstLineChars="400"/>
        <w:jc w:val="center"/>
        <w:rPr>
          <w:rFonts w:ascii="宋体" w:hAnsi="宋体"/>
          <w:b/>
          <w:bCs/>
          <w:sz w:val="28"/>
          <w:szCs w:val="28"/>
        </w:rPr>
      </w:pPr>
    </w:p>
    <w:p>
      <w:pPr>
        <w:spacing w:line="720" w:lineRule="auto"/>
        <w:jc w:val="center"/>
        <w:rPr>
          <w:rFonts w:ascii="宋体" w:hAnsi="宋体"/>
          <w:b/>
          <w:sz w:val="24"/>
        </w:rPr>
      </w:pPr>
      <w:r>
        <w:rPr>
          <w:rFonts w:hint="eastAsia" w:ascii="宋体" w:hAnsi="宋体"/>
          <w:b/>
          <w:bCs/>
          <w:sz w:val="28"/>
          <w:szCs w:val="28"/>
        </w:rPr>
        <w:t>审核：   樊向玲    高级工程师</w:t>
      </w:r>
    </w:p>
    <w:p>
      <w:pPr>
        <w:spacing w:line="720" w:lineRule="auto"/>
        <w:jc w:val="left"/>
        <w:rPr>
          <w:rFonts w:ascii="宋体" w:hAnsi="宋体"/>
          <w:b/>
          <w:sz w:val="24"/>
        </w:rPr>
      </w:pPr>
      <w:bookmarkStart w:id="37" w:name="_GoBack"/>
      <w:bookmarkEnd w:id="37"/>
    </w:p>
    <w:p>
      <w:pPr>
        <w:rPr>
          <w:rFonts w:ascii="Times New Roman" w:hAnsi="Times New Roman" w:eastAsia="微软雅黑" w:cs="Times New Roman"/>
          <w:b/>
          <w:color w:val="000000"/>
          <w:kern w:val="0"/>
          <w:sz w:val="32"/>
          <w:szCs w:val="24"/>
        </w:rPr>
      </w:pPr>
      <w:r>
        <w:rPr>
          <w:rFonts w:ascii="Times New Roman" w:hAnsi="Times New Roman" w:eastAsia="微软雅黑" w:cs="Times New Roman"/>
          <w:b/>
          <w:color w:val="000000"/>
          <w:kern w:val="0"/>
          <w:sz w:val="32"/>
          <w:szCs w:val="24"/>
        </w:rPr>
        <w:br w:type="page"/>
      </w:r>
    </w:p>
    <w:p>
      <w:pPr>
        <w:spacing w:line="360" w:lineRule="auto"/>
        <w:jc w:val="center"/>
        <w:rPr>
          <w:rFonts w:ascii="Times New Roman" w:hAnsi="Times New Roman" w:eastAsia="微软雅黑" w:cs="Times New Roman"/>
          <w:b/>
          <w:color w:val="000000"/>
          <w:kern w:val="0"/>
          <w:sz w:val="32"/>
          <w:szCs w:val="24"/>
        </w:rPr>
      </w:pPr>
      <w:r>
        <w:rPr>
          <w:rFonts w:ascii="Times New Roman" w:hAnsi="Times New Roman" w:eastAsia="微软雅黑" w:cs="Times New Roman"/>
          <w:b/>
          <w:color w:val="000000"/>
          <w:kern w:val="0"/>
          <w:sz w:val="32"/>
          <w:szCs w:val="24"/>
        </w:rPr>
        <w:t>目 录</w:t>
      </w:r>
    </w:p>
    <w:p>
      <w:pPr>
        <w:spacing w:line="360" w:lineRule="auto"/>
        <w:rPr>
          <w:rFonts w:ascii="Times New Roman" w:hAnsi="Times New Roman" w:eastAsia="宋体" w:cs="Times New Roman"/>
          <w:color w:val="000000"/>
          <w:kern w:val="0"/>
          <w:sz w:val="24"/>
          <w:szCs w:val="24"/>
        </w:rPr>
      </w:pPr>
    </w:p>
    <w:sdt>
      <w:sdtPr>
        <w:rPr>
          <w:lang w:val="zh-CN"/>
        </w:rPr>
        <w:id w:val="-1120535344"/>
        <w:docPartObj>
          <w:docPartGallery w:val="Table of Contents"/>
          <w:docPartUnique/>
        </w:docPartObj>
      </w:sdtPr>
      <w:sdtEndPr>
        <w:rPr>
          <w:rFonts w:ascii="Times New Roman" w:hAnsi="Times New Roman" w:cs="Times New Roman"/>
          <w:b/>
          <w:bCs/>
          <w:sz w:val="28"/>
          <w:lang w:val="zh-CN"/>
        </w:rPr>
      </w:sdtEndPr>
      <w:sdtContent>
        <w:p>
          <w:pPr>
            <w:pStyle w:val="8"/>
            <w:tabs>
              <w:tab w:val="right" w:leader="dot" w:pos="9016"/>
            </w:tabs>
            <w:rPr>
              <w:szCs w:val="24"/>
            </w:rPr>
          </w:pPr>
          <w:r>
            <w:rPr>
              <w:rFonts w:ascii="Times New Roman" w:hAnsi="Times New Roman" w:cs="Times New Roman"/>
              <w:sz w:val="28"/>
            </w:rPr>
            <w:fldChar w:fldCharType="begin"/>
          </w:r>
          <w:r>
            <w:rPr>
              <w:rFonts w:ascii="Times New Roman" w:hAnsi="Times New Roman" w:cs="Times New Roman"/>
              <w:sz w:val="28"/>
            </w:rPr>
            <w:instrText xml:space="preserve"> TOC \o "1-3" \h \z \u </w:instrText>
          </w:r>
          <w:r>
            <w:rPr>
              <w:rFonts w:ascii="Times New Roman" w:hAnsi="Times New Roman" w:cs="Times New Roman"/>
              <w:sz w:val="28"/>
            </w:rPr>
            <w:fldChar w:fldCharType="separate"/>
          </w:r>
          <w:r>
            <w:fldChar w:fldCharType="begin"/>
          </w:r>
          <w:r>
            <w:instrText xml:space="preserve"> HYPERLINK \l "_Toc75531134" </w:instrText>
          </w:r>
          <w:r>
            <w:fldChar w:fldCharType="separate"/>
          </w:r>
          <w:r>
            <w:rPr>
              <w:rStyle w:val="15"/>
              <w:rFonts w:ascii="Times New Roman" w:hAnsi="Times New Roman" w:eastAsia="微软雅黑" w:cs="Times New Roman"/>
              <w:b/>
              <w:kern w:val="0"/>
            </w:rPr>
            <w:t>第一章 项目概况</w:t>
          </w:r>
          <w:r>
            <w:tab/>
          </w:r>
          <w:r>
            <w:fldChar w:fldCharType="begin"/>
          </w:r>
          <w:r>
            <w:instrText xml:space="preserve"> PAGEREF _Toc75531134 \h </w:instrText>
          </w:r>
          <w:r>
            <w:fldChar w:fldCharType="separate"/>
          </w:r>
          <w:r>
            <w:t>1</w:t>
          </w:r>
          <w:r>
            <w:fldChar w:fldCharType="end"/>
          </w:r>
          <w:r>
            <w:fldChar w:fldCharType="end"/>
          </w:r>
        </w:p>
        <w:p>
          <w:pPr>
            <w:pStyle w:val="10"/>
            <w:tabs>
              <w:tab w:val="right" w:leader="dot" w:pos="9016"/>
            </w:tabs>
            <w:rPr>
              <w:szCs w:val="24"/>
            </w:rPr>
          </w:pPr>
          <w:r>
            <w:fldChar w:fldCharType="begin"/>
          </w:r>
          <w:r>
            <w:instrText xml:space="preserve"> HYPERLINK \l "_Toc75531135" </w:instrText>
          </w:r>
          <w:r>
            <w:fldChar w:fldCharType="separate"/>
          </w:r>
          <w:r>
            <w:rPr>
              <w:rStyle w:val="15"/>
              <w:rFonts w:ascii="Times New Roman" w:hAnsi="Times New Roman" w:eastAsia="微软雅黑" w:cs="Times New Roman"/>
              <w:kern w:val="0"/>
            </w:rPr>
            <w:t>一、项目名称</w:t>
          </w:r>
          <w:r>
            <w:tab/>
          </w:r>
          <w:r>
            <w:fldChar w:fldCharType="begin"/>
          </w:r>
          <w:r>
            <w:instrText xml:space="preserve"> PAGEREF _Toc75531135 \h </w:instrText>
          </w:r>
          <w:r>
            <w:fldChar w:fldCharType="separate"/>
          </w:r>
          <w:r>
            <w:t>1</w:t>
          </w:r>
          <w:r>
            <w:fldChar w:fldCharType="end"/>
          </w:r>
          <w:r>
            <w:fldChar w:fldCharType="end"/>
          </w:r>
        </w:p>
        <w:p>
          <w:pPr>
            <w:pStyle w:val="10"/>
            <w:tabs>
              <w:tab w:val="right" w:leader="dot" w:pos="9016"/>
            </w:tabs>
            <w:rPr>
              <w:szCs w:val="24"/>
            </w:rPr>
          </w:pPr>
          <w:r>
            <w:fldChar w:fldCharType="begin"/>
          </w:r>
          <w:r>
            <w:instrText xml:space="preserve"> HYPERLINK \l "_Toc75531136" </w:instrText>
          </w:r>
          <w:r>
            <w:fldChar w:fldCharType="separate"/>
          </w:r>
          <w:r>
            <w:rPr>
              <w:rStyle w:val="15"/>
              <w:rFonts w:ascii="Times New Roman" w:hAnsi="Times New Roman" w:eastAsia="微软雅黑" w:cs="Times New Roman"/>
              <w:kern w:val="0"/>
            </w:rPr>
            <w:t>二、项目背景</w:t>
          </w:r>
          <w:r>
            <w:tab/>
          </w:r>
          <w:r>
            <w:fldChar w:fldCharType="begin"/>
          </w:r>
          <w:r>
            <w:instrText xml:space="preserve"> PAGEREF _Toc75531136 \h </w:instrText>
          </w:r>
          <w:r>
            <w:fldChar w:fldCharType="separate"/>
          </w:r>
          <w:r>
            <w:t>1</w:t>
          </w:r>
          <w:r>
            <w:fldChar w:fldCharType="end"/>
          </w:r>
          <w:r>
            <w:fldChar w:fldCharType="end"/>
          </w:r>
        </w:p>
        <w:p>
          <w:pPr>
            <w:pStyle w:val="10"/>
            <w:tabs>
              <w:tab w:val="right" w:leader="dot" w:pos="9016"/>
            </w:tabs>
            <w:rPr>
              <w:szCs w:val="24"/>
            </w:rPr>
          </w:pPr>
          <w:r>
            <w:fldChar w:fldCharType="begin"/>
          </w:r>
          <w:r>
            <w:instrText xml:space="preserve"> HYPERLINK \l "_Toc75531137" </w:instrText>
          </w:r>
          <w:r>
            <w:fldChar w:fldCharType="separate"/>
          </w:r>
          <w:r>
            <w:rPr>
              <w:rStyle w:val="15"/>
              <w:rFonts w:ascii="Times New Roman" w:hAnsi="Times New Roman" w:eastAsia="微软雅黑" w:cs="Times New Roman"/>
              <w:kern w:val="0"/>
            </w:rPr>
            <w:t>三、项目目标</w:t>
          </w:r>
          <w:r>
            <w:tab/>
          </w:r>
          <w:r>
            <w:fldChar w:fldCharType="begin"/>
          </w:r>
          <w:r>
            <w:instrText xml:space="preserve"> PAGEREF _Toc75531137 \h </w:instrText>
          </w:r>
          <w:r>
            <w:fldChar w:fldCharType="separate"/>
          </w:r>
          <w:r>
            <w:t>1</w:t>
          </w:r>
          <w:r>
            <w:fldChar w:fldCharType="end"/>
          </w:r>
          <w:r>
            <w:fldChar w:fldCharType="end"/>
          </w:r>
        </w:p>
        <w:p>
          <w:pPr>
            <w:pStyle w:val="8"/>
            <w:tabs>
              <w:tab w:val="right" w:leader="dot" w:pos="9016"/>
            </w:tabs>
            <w:rPr>
              <w:szCs w:val="24"/>
            </w:rPr>
          </w:pPr>
          <w:r>
            <w:fldChar w:fldCharType="begin"/>
          </w:r>
          <w:r>
            <w:instrText xml:space="preserve"> HYPERLINK \l "_Toc75531138" </w:instrText>
          </w:r>
          <w:r>
            <w:fldChar w:fldCharType="separate"/>
          </w:r>
          <w:r>
            <w:rPr>
              <w:rStyle w:val="15"/>
              <w:rFonts w:ascii="Times New Roman" w:hAnsi="Times New Roman" w:eastAsia="微软雅黑" w:cs="Times New Roman"/>
              <w:b/>
              <w:kern w:val="0"/>
            </w:rPr>
            <w:t>第二章 项目实施组织机构</w:t>
          </w:r>
          <w:r>
            <w:tab/>
          </w:r>
          <w:r>
            <w:fldChar w:fldCharType="begin"/>
          </w:r>
          <w:r>
            <w:instrText xml:space="preserve"> PAGEREF _Toc75531138 \h </w:instrText>
          </w:r>
          <w:r>
            <w:fldChar w:fldCharType="separate"/>
          </w:r>
          <w:r>
            <w:t>3</w:t>
          </w:r>
          <w:r>
            <w:fldChar w:fldCharType="end"/>
          </w:r>
          <w:r>
            <w:fldChar w:fldCharType="end"/>
          </w:r>
        </w:p>
        <w:p>
          <w:pPr>
            <w:pStyle w:val="10"/>
            <w:tabs>
              <w:tab w:val="right" w:leader="dot" w:pos="9016"/>
            </w:tabs>
            <w:rPr>
              <w:szCs w:val="24"/>
            </w:rPr>
          </w:pPr>
          <w:r>
            <w:fldChar w:fldCharType="begin"/>
          </w:r>
          <w:r>
            <w:instrText xml:space="preserve"> HYPERLINK \l "_Toc75531139" </w:instrText>
          </w:r>
          <w:r>
            <w:fldChar w:fldCharType="separate"/>
          </w:r>
          <w:r>
            <w:rPr>
              <w:rStyle w:val="15"/>
              <w:rFonts w:ascii="Times New Roman" w:hAnsi="Times New Roman" w:eastAsia="微软雅黑" w:cs="Times New Roman"/>
              <w:kern w:val="0"/>
            </w:rPr>
            <w:t>一、健全项目协调机制</w:t>
          </w:r>
          <w:r>
            <w:tab/>
          </w:r>
          <w:r>
            <w:fldChar w:fldCharType="begin"/>
          </w:r>
          <w:r>
            <w:instrText xml:space="preserve"> PAGEREF _Toc75531139 \h </w:instrText>
          </w:r>
          <w:r>
            <w:fldChar w:fldCharType="separate"/>
          </w:r>
          <w:r>
            <w:t>3</w:t>
          </w:r>
          <w:r>
            <w:fldChar w:fldCharType="end"/>
          </w:r>
          <w:r>
            <w:fldChar w:fldCharType="end"/>
          </w:r>
        </w:p>
        <w:p>
          <w:pPr>
            <w:pStyle w:val="10"/>
            <w:tabs>
              <w:tab w:val="right" w:leader="dot" w:pos="9016"/>
            </w:tabs>
            <w:rPr>
              <w:szCs w:val="24"/>
            </w:rPr>
          </w:pPr>
          <w:r>
            <w:fldChar w:fldCharType="begin"/>
          </w:r>
          <w:r>
            <w:instrText xml:space="preserve"> HYPERLINK \l "_Toc75531140" </w:instrText>
          </w:r>
          <w:r>
            <w:fldChar w:fldCharType="separate"/>
          </w:r>
          <w:r>
            <w:rPr>
              <w:rStyle w:val="15"/>
              <w:rFonts w:ascii="Times New Roman" w:hAnsi="Times New Roman" w:eastAsia="微软雅黑" w:cs="Times New Roman"/>
              <w:kern w:val="0"/>
            </w:rPr>
            <w:t>二、明确项目实施主体</w:t>
          </w:r>
          <w:r>
            <w:tab/>
          </w:r>
          <w:r>
            <w:fldChar w:fldCharType="begin"/>
          </w:r>
          <w:r>
            <w:instrText xml:space="preserve"> PAGEREF _Toc75531140 \h </w:instrText>
          </w:r>
          <w:r>
            <w:fldChar w:fldCharType="separate"/>
          </w:r>
          <w:r>
            <w:t>3</w:t>
          </w:r>
          <w:r>
            <w:fldChar w:fldCharType="end"/>
          </w:r>
          <w:r>
            <w:fldChar w:fldCharType="end"/>
          </w:r>
        </w:p>
        <w:p>
          <w:pPr>
            <w:pStyle w:val="10"/>
            <w:tabs>
              <w:tab w:val="right" w:leader="dot" w:pos="9016"/>
            </w:tabs>
            <w:rPr>
              <w:szCs w:val="24"/>
            </w:rPr>
          </w:pPr>
          <w:r>
            <w:fldChar w:fldCharType="begin"/>
          </w:r>
          <w:r>
            <w:instrText xml:space="preserve"> HYPERLINK \l "_Toc75531141" </w:instrText>
          </w:r>
          <w:r>
            <w:fldChar w:fldCharType="separate"/>
          </w:r>
          <w:r>
            <w:rPr>
              <w:rStyle w:val="15"/>
              <w:rFonts w:ascii="Times New Roman" w:hAnsi="Times New Roman" w:eastAsia="微软雅黑" w:cs="Times New Roman"/>
              <w:kern w:val="0"/>
            </w:rPr>
            <w:t>三、项目分工情况</w:t>
          </w:r>
          <w:r>
            <w:tab/>
          </w:r>
          <w:r>
            <w:fldChar w:fldCharType="begin"/>
          </w:r>
          <w:r>
            <w:instrText xml:space="preserve"> PAGEREF _Toc75531141 \h </w:instrText>
          </w:r>
          <w:r>
            <w:fldChar w:fldCharType="separate"/>
          </w:r>
          <w:r>
            <w:t>3</w:t>
          </w:r>
          <w:r>
            <w:fldChar w:fldCharType="end"/>
          </w:r>
          <w:r>
            <w:fldChar w:fldCharType="end"/>
          </w:r>
        </w:p>
        <w:p>
          <w:pPr>
            <w:pStyle w:val="10"/>
            <w:tabs>
              <w:tab w:val="right" w:leader="dot" w:pos="9016"/>
            </w:tabs>
            <w:rPr>
              <w:szCs w:val="24"/>
            </w:rPr>
          </w:pPr>
          <w:r>
            <w:fldChar w:fldCharType="begin"/>
          </w:r>
          <w:r>
            <w:instrText xml:space="preserve"> HYPERLINK \l "_Toc75531142" </w:instrText>
          </w:r>
          <w:r>
            <w:fldChar w:fldCharType="separate"/>
          </w:r>
          <w:r>
            <w:rPr>
              <w:rStyle w:val="15"/>
              <w:rFonts w:ascii="Times New Roman" w:hAnsi="Times New Roman" w:eastAsia="微软雅黑" w:cs="Times New Roman"/>
              <w:kern w:val="0"/>
            </w:rPr>
            <w:t>四、建立项目监督架构</w:t>
          </w:r>
          <w:r>
            <w:tab/>
          </w:r>
          <w:r>
            <w:fldChar w:fldCharType="begin"/>
          </w:r>
          <w:r>
            <w:instrText xml:space="preserve"> PAGEREF _Toc75531142 \h </w:instrText>
          </w:r>
          <w:r>
            <w:fldChar w:fldCharType="separate"/>
          </w:r>
          <w:r>
            <w:t>3</w:t>
          </w:r>
          <w:r>
            <w:fldChar w:fldCharType="end"/>
          </w:r>
          <w:r>
            <w:fldChar w:fldCharType="end"/>
          </w:r>
        </w:p>
        <w:p>
          <w:pPr>
            <w:pStyle w:val="10"/>
            <w:tabs>
              <w:tab w:val="right" w:leader="dot" w:pos="9016"/>
            </w:tabs>
            <w:rPr>
              <w:szCs w:val="24"/>
            </w:rPr>
          </w:pPr>
          <w:r>
            <w:fldChar w:fldCharType="begin"/>
          </w:r>
          <w:r>
            <w:instrText xml:space="preserve"> HYPERLINK \l "_Toc75531143" </w:instrText>
          </w:r>
          <w:r>
            <w:fldChar w:fldCharType="separate"/>
          </w:r>
          <w:r>
            <w:rPr>
              <w:rStyle w:val="15"/>
              <w:rFonts w:ascii="Times New Roman" w:hAnsi="Times New Roman" w:eastAsia="微软雅黑" w:cs="Times New Roman"/>
              <w:kern w:val="0"/>
            </w:rPr>
            <w:t>五、项目的遴选模式</w:t>
          </w:r>
          <w:r>
            <w:tab/>
          </w:r>
          <w:r>
            <w:fldChar w:fldCharType="begin"/>
          </w:r>
          <w:r>
            <w:instrText xml:space="preserve"> PAGEREF _Toc75531143 \h </w:instrText>
          </w:r>
          <w:r>
            <w:fldChar w:fldCharType="separate"/>
          </w:r>
          <w:r>
            <w:t>3</w:t>
          </w:r>
          <w:r>
            <w:fldChar w:fldCharType="end"/>
          </w:r>
          <w:r>
            <w:fldChar w:fldCharType="end"/>
          </w:r>
        </w:p>
        <w:p>
          <w:pPr>
            <w:pStyle w:val="8"/>
            <w:tabs>
              <w:tab w:val="right" w:leader="dot" w:pos="9016"/>
            </w:tabs>
            <w:rPr>
              <w:szCs w:val="24"/>
            </w:rPr>
          </w:pPr>
          <w:r>
            <w:fldChar w:fldCharType="begin"/>
          </w:r>
          <w:r>
            <w:instrText xml:space="preserve"> HYPERLINK \l "_Toc75531144" </w:instrText>
          </w:r>
          <w:r>
            <w:fldChar w:fldCharType="separate"/>
          </w:r>
          <w:r>
            <w:rPr>
              <w:rStyle w:val="15"/>
              <w:rFonts w:ascii="Times New Roman" w:hAnsi="Times New Roman" w:eastAsia="微软雅黑" w:cs="Times New Roman"/>
              <w:b/>
              <w:kern w:val="0"/>
            </w:rPr>
            <w:t>第三章 项目实施规模和标准</w:t>
          </w:r>
          <w:r>
            <w:tab/>
          </w:r>
          <w:r>
            <w:fldChar w:fldCharType="begin"/>
          </w:r>
          <w:r>
            <w:instrText xml:space="preserve"> PAGEREF _Toc75531144 \h </w:instrText>
          </w:r>
          <w:r>
            <w:fldChar w:fldCharType="separate"/>
          </w:r>
          <w:r>
            <w:t>5</w:t>
          </w:r>
          <w:r>
            <w:fldChar w:fldCharType="end"/>
          </w:r>
          <w:r>
            <w:fldChar w:fldCharType="end"/>
          </w:r>
        </w:p>
        <w:p>
          <w:pPr>
            <w:pStyle w:val="10"/>
            <w:tabs>
              <w:tab w:val="right" w:leader="dot" w:pos="9016"/>
            </w:tabs>
            <w:rPr>
              <w:szCs w:val="24"/>
            </w:rPr>
          </w:pPr>
          <w:r>
            <w:fldChar w:fldCharType="begin"/>
          </w:r>
          <w:r>
            <w:instrText xml:space="preserve"> HYPERLINK \l "_Toc75531145" </w:instrText>
          </w:r>
          <w:r>
            <w:fldChar w:fldCharType="separate"/>
          </w:r>
          <w:r>
            <w:rPr>
              <w:rStyle w:val="15"/>
              <w:rFonts w:ascii="Times New Roman" w:hAnsi="Times New Roman" w:eastAsia="微软雅黑" w:cs="Times New Roman"/>
              <w:kern w:val="0"/>
            </w:rPr>
            <w:t>一、项目建设和投资规模</w:t>
          </w:r>
          <w:r>
            <w:tab/>
          </w:r>
          <w:r>
            <w:fldChar w:fldCharType="begin"/>
          </w:r>
          <w:r>
            <w:instrText xml:space="preserve"> PAGEREF _Toc75531145 \h </w:instrText>
          </w:r>
          <w:r>
            <w:fldChar w:fldCharType="separate"/>
          </w:r>
          <w:r>
            <w:t>5</w:t>
          </w:r>
          <w:r>
            <w:fldChar w:fldCharType="end"/>
          </w:r>
          <w:r>
            <w:fldChar w:fldCharType="end"/>
          </w:r>
        </w:p>
        <w:p>
          <w:pPr>
            <w:pStyle w:val="10"/>
            <w:tabs>
              <w:tab w:val="right" w:leader="dot" w:pos="9016"/>
            </w:tabs>
            <w:rPr>
              <w:szCs w:val="24"/>
            </w:rPr>
          </w:pPr>
          <w:r>
            <w:fldChar w:fldCharType="begin"/>
          </w:r>
          <w:r>
            <w:instrText xml:space="preserve"> HYPERLINK \l "_Toc75531146" </w:instrText>
          </w:r>
          <w:r>
            <w:fldChar w:fldCharType="separate"/>
          </w:r>
          <w:r>
            <w:rPr>
              <w:rStyle w:val="15"/>
              <w:rFonts w:ascii="Times New Roman" w:hAnsi="Times New Roman" w:eastAsia="微软雅黑" w:cs="Times New Roman"/>
              <w:kern w:val="0"/>
            </w:rPr>
            <w:t>二、项目实施计划</w:t>
          </w:r>
          <w:r>
            <w:tab/>
          </w:r>
          <w:r>
            <w:fldChar w:fldCharType="begin"/>
          </w:r>
          <w:r>
            <w:instrText xml:space="preserve"> PAGEREF _Toc75531146 \h </w:instrText>
          </w:r>
          <w:r>
            <w:fldChar w:fldCharType="separate"/>
          </w:r>
          <w:r>
            <w:t>6</w:t>
          </w:r>
          <w:r>
            <w:fldChar w:fldCharType="end"/>
          </w:r>
          <w:r>
            <w:fldChar w:fldCharType="end"/>
          </w:r>
        </w:p>
        <w:p>
          <w:pPr>
            <w:pStyle w:val="10"/>
            <w:tabs>
              <w:tab w:val="right" w:leader="dot" w:pos="9016"/>
            </w:tabs>
            <w:rPr>
              <w:szCs w:val="24"/>
            </w:rPr>
          </w:pPr>
          <w:r>
            <w:fldChar w:fldCharType="begin"/>
          </w:r>
          <w:r>
            <w:instrText xml:space="preserve"> HYPERLINK \l "_Toc75531147" </w:instrText>
          </w:r>
          <w:r>
            <w:fldChar w:fldCharType="separate"/>
          </w:r>
          <w:r>
            <w:rPr>
              <w:rStyle w:val="15"/>
              <w:rFonts w:ascii="Times New Roman" w:hAnsi="Times New Roman" w:eastAsia="微软雅黑" w:cs="Times New Roman"/>
              <w:kern w:val="0"/>
            </w:rPr>
            <w:t>三、特许经营权实施思路</w:t>
          </w:r>
          <w:r>
            <w:tab/>
          </w:r>
          <w:r>
            <w:fldChar w:fldCharType="begin"/>
          </w:r>
          <w:r>
            <w:instrText xml:space="preserve"> PAGEREF _Toc75531147 \h </w:instrText>
          </w:r>
          <w:r>
            <w:fldChar w:fldCharType="separate"/>
          </w:r>
          <w:r>
            <w:t>7</w:t>
          </w:r>
          <w:r>
            <w:fldChar w:fldCharType="end"/>
          </w:r>
          <w:r>
            <w:fldChar w:fldCharType="end"/>
          </w:r>
        </w:p>
        <w:p>
          <w:pPr>
            <w:pStyle w:val="10"/>
            <w:tabs>
              <w:tab w:val="right" w:leader="dot" w:pos="9016"/>
            </w:tabs>
            <w:rPr>
              <w:szCs w:val="24"/>
            </w:rPr>
          </w:pPr>
          <w:r>
            <w:fldChar w:fldCharType="begin"/>
          </w:r>
          <w:r>
            <w:instrText xml:space="preserve"> HYPERLINK \l "_Toc75531148" </w:instrText>
          </w:r>
          <w:r>
            <w:fldChar w:fldCharType="separate"/>
          </w:r>
          <w:r>
            <w:rPr>
              <w:rStyle w:val="15"/>
              <w:rFonts w:ascii="Times New Roman" w:hAnsi="Times New Roman" w:eastAsia="微软雅黑" w:cs="Times New Roman"/>
              <w:kern w:val="0"/>
            </w:rPr>
            <w:t>四、项目技术要点</w:t>
          </w:r>
          <w:r>
            <w:tab/>
          </w:r>
          <w:r>
            <w:fldChar w:fldCharType="begin"/>
          </w:r>
          <w:r>
            <w:instrText xml:space="preserve"> PAGEREF _Toc75531148 \h </w:instrText>
          </w:r>
          <w:r>
            <w:fldChar w:fldCharType="separate"/>
          </w:r>
          <w:r>
            <w:t>10</w:t>
          </w:r>
          <w:r>
            <w:fldChar w:fldCharType="end"/>
          </w:r>
          <w:r>
            <w:fldChar w:fldCharType="end"/>
          </w:r>
        </w:p>
        <w:p>
          <w:pPr>
            <w:pStyle w:val="10"/>
            <w:tabs>
              <w:tab w:val="right" w:leader="dot" w:pos="9016"/>
            </w:tabs>
            <w:rPr>
              <w:szCs w:val="24"/>
            </w:rPr>
          </w:pPr>
          <w:r>
            <w:fldChar w:fldCharType="begin"/>
          </w:r>
          <w:r>
            <w:instrText xml:space="preserve"> HYPERLINK \l "_Toc75531149" </w:instrText>
          </w:r>
          <w:r>
            <w:fldChar w:fldCharType="separate"/>
          </w:r>
          <w:r>
            <w:rPr>
              <w:rStyle w:val="15"/>
              <w:rFonts w:ascii="Times New Roman" w:hAnsi="Times New Roman" w:eastAsia="微软雅黑" w:cs="Times New Roman"/>
              <w:kern w:val="0"/>
            </w:rPr>
            <w:t>五、第一期项目建设清单</w:t>
          </w:r>
          <w:r>
            <w:tab/>
          </w:r>
          <w:r>
            <w:fldChar w:fldCharType="begin"/>
          </w:r>
          <w:r>
            <w:instrText xml:space="preserve"> PAGEREF _Toc75531149 \h </w:instrText>
          </w:r>
          <w:r>
            <w:fldChar w:fldCharType="separate"/>
          </w:r>
          <w:r>
            <w:t>12</w:t>
          </w:r>
          <w:r>
            <w:fldChar w:fldCharType="end"/>
          </w:r>
          <w:r>
            <w:fldChar w:fldCharType="end"/>
          </w:r>
        </w:p>
        <w:p>
          <w:pPr>
            <w:pStyle w:val="10"/>
            <w:tabs>
              <w:tab w:val="right" w:leader="dot" w:pos="9016"/>
            </w:tabs>
            <w:rPr>
              <w:szCs w:val="24"/>
            </w:rPr>
          </w:pPr>
          <w:r>
            <w:fldChar w:fldCharType="begin"/>
          </w:r>
          <w:r>
            <w:instrText xml:space="preserve"> HYPERLINK \l "_Toc75531150" </w:instrText>
          </w:r>
          <w:r>
            <w:fldChar w:fldCharType="separate"/>
          </w:r>
          <w:r>
            <w:rPr>
              <w:rStyle w:val="15"/>
              <w:rFonts w:ascii="Times New Roman" w:hAnsi="Times New Roman" w:eastAsia="微软雅黑" w:cs="Times New Roman"/>
              <w:kern w:val="0"/>
            </w:rPr>
            <w:t>六、项目收费标准</w:t>
          </w:r>
          <w:r>
            <w:tab/>
          </w:r>
          <w:r>
            <w:fldChar w:fldCharType="begin"/>
          </w:r>
          <w:r>
            <w:instrText xml:space="preserve"> PAGEREF _Toc75531150 \h </w:instrText>
          </w:r>
          <w:r>
            <w:fldChar w:fldCharType="separate"/>
          </w:r>
          <w:r>
            <w:t>14</w:t>
          </w:r>
          <w:r>
            <w:fldChar w:fldCharType="end"/>
          </w:r>
          <w:r>
            <w:fldChar w:fldCharType="end"/>
          </w:r>
        </w:p>
        <w:p>
          <w:pPr>
            <w:pStyle w:val="8"/>
            <w:tabs>
              <w:tab w:val="right" w:leader="dot" w:pos="9016"/>
            </w:tabs>
            <w:rPr>
              <w:szCs w:val="24"/>
            </w:rPr>
          </w:pPr>
          <w:r>
            <w:fldChar w:fldCharType="begin"/>
          </w:r>
          <w:r>
            <w:instrText xml:space="preserve"> HYPERLINK \l "_Toc75531151" </w:instrText>
          </w:r>
          <w:r>
            <w:fldChar w:fldCharType="separate"/>
          </w:r>
          <w:r>
            <w:rPr>
              <w:rStyle w:val="15"/>
              <w:rFonts w:ascii="Times New Roman" w:hAnsi="Times New Roman" w:eastAsia="微软雅黑" w:cs="Times New Roman"/>
              <w:b/>
              <w:kern w:val="0"/>
            </w:rPr>
            <w:t>第四章 项目实施的实施流程</w:t>
          </w:r>
          <w:r>
            <w:tab/>
          </w:r>
          <w:r>
            <w:fldChar w:fldCharType="begin"/>
          </w:r>
          <w:r>
            <w:instrText xml:space="preserve"> PAGEREF _Toc75531151 \h </w:instrText>
          </w:r>
          <w:r>
            <w:fldChar w:fldCharType="separate"/>
          </w:r>
          <w:r>
            <w:t>17</w:t>
          </w:r>
          <w:r>
            <w:fldChar w:fldCharType="end"/>
          </w:r>
          <w:r>
            <w:fldChar w:fldCharType="end"/>
          </w:r>
        </w:p>
        <w:p>
          <w:pPr>
            <w:pStyle w:val="10"/>
            <w:tabs>
              <w:tab w:val="right" w:leader="dot" w:pos="9016"/>
            </w:tabs>
            <w:rPr>
              <w:szCs w:val="24"/>
            </w:rPr>
          </w:pPr>
          <w:r>
            <w:fldChar w:fldCharType="begin"/>
          </w:r>
          <w:r>
            <w:instrText xml:space="preserve"> HYPERLINK \l "_Toc75531152" </w:instrText>
          </w:r>
          <w:r>
            <w:fldChar w:fldCharType="separate"/>
          </w:r>
          <w:r>
            <w:rPr>
              <w:rStyle w:val="15"/>
              <w:rFonts w:ascii="Times New Roman" w:hAnsi="Times New Roman" w:eastAsia="微软雅黑" w:cs="Times New Roman"/>
              <w:kern w:val="0"/>
            </w:rPr>
            <w:t>一、特许经营权实施流程</w:t>
          </w:r>
          <w:r>
            <w:tab/>
          </w:r>
          <w:r>
            <w:fldChar w:fldCharType="begin"/>
          </w:r>
          <w:r>
            <w:instrText xml:space="preserve"> PAGEREF _Toc75531152 \h </w:instrText>
          </w:r>
          <w:r>
            <w:fldChar w:fldCharType="separate"/>
          </w:r>
          <w:r>
            <w:t>17</w:t>
          </w:r>
          <w:r>
            <w:fldChar w:fldCharType="end"/>
          </w:r>
          <w:r>
            <w:fldChar w:fldCharType="end"/>
          </w:r>
        </w:p>
        <w:p>
          <w:pPr>
            <w:pStyle w:val="10"/>
            <w:tabs>
              <w:tab w:val="right" w:leader="dot" w:pos="9016"/>
            </w:tabs>
            <w:rPr>
              <w:szCs w:val="24"/>
            </w:rPr>
          </w:pPr>
          <w:r>
            <w:fldChar w:fldCharType="begin"/>
          </w:r>
          <w:r>
            <w:instrText xml:space="preserve"> HYPERLINK \l "_Toc75531153" </w:instrText>
          </w:r>
          <w:r>
            <w:fldChar w:fldCharType="separate"/>
          </w:r>
          <w:r>
            <w:rPr>
              <w:rStyle w:val="15"/>
              <w:rFonts w:ascii="Times New Roman" w:hAnsi="Times New Roman" w:eastAsia="微软雅黑" w:cs="Times New Roman"/>
              <w:kern w:val="0"/>
            </w:rPr>
            <w:t>二、智慧停车项目整体流程</w:t>
          </w:r>
          <w:r>
            <w:tab/>
          </w:r>
          <w:r>
            <w:fldChar w:fldCharType="begin"/>
          </w:r>
          <w:r>
            <w:instrText xml:space="preserve"> PAGEREF _Toc75531153 \h </w:instrText>
          </w:r>
          <w:r>
            <w:fldChar w:fldCharType="separate"/>
          </w:r>
          <w:r>
            <w:t>17</w:t>
          </w:r>
          <w:r>
            <w:fldChar w:fldCharType="end"/>
          </w:r>
          <w:r>
            <w:fldChar w:fldCharType="end"/>
          </w:r>
        </w:p>
        <w:p>
          <w:pPr>
            <w:pStyle w:val="8"/>
            <w:tabs>
              <w:tab w:val="right" w:leader="dot" w:pos="9016"/>
            </w:tabs>
            <w:rPr>
              <w:szCs w:val="24"/>
            </w:rPr>
          </w:pPr>
          <w:r>
            <w:fldChar w:fldCharType="begin"/>
          </w:r>
          <w:r>
            <w:instrText xml:space="preserve"> HYPERLINK \l "_Toc75531154" </w:instrText>
          </w:r>
          <w:r>
            <w:fldChar w:fldCharType="separate"/>
          </w:r>
          <w:r>
            <w:rPr>
              <w:rStyle w:val="15"/>
              <w:rFonts w:ascii="Times New Roman" w:hAnsi="Times New Roman" w:eastAsia="微软雅黑" w:cs="Times New Roman"/>
              <w:b/>
              <w:kern w:val="0"/>
            </w:rPr>
            <w:t>第五章 项目实施的主要经济指标</w:t>
          </w:r>
          <w:r>
            <w:tab/>
          </w:r>
          <w:r>
            <w:fldChar w:fldCharType="begin"/>
          </w:r>
          <w:r>
            <w:instrText xml:space="preserve"> PAGEREF _Toc75531154 \h </w:instrText>
          </w:r>
          <w:r>
            <w:fldChar w:fldCharType="separate"/>
          </w:r>
          <w:r>
            <w:t>20</w:t>
          </w:r>
          <w:r>
            <w:fldChar w:fldCharType="end"/>
          </w:r>
          <w:r>
            <w:fldChar w:fldCharType="end"/>
          </w:r>
        </w:p>
        <w:p>
          <w:pPr>
            <w:pStyle w:val="10"/>
            <w:tabs>
              <w:tab w:val="right" w:leader="dot" w:pos="9016"/>
            </w:tabs>
            <w:rPr>
              <w:szCs w:val="24"/>
            </w:rPr>
          </w:pPr>
          <w:r>
            <w:fldChar w:fldCharType="begin"/>
          </w:r>
          <w:r>
            <w:instrText xml:space="preserve"> HYPERLINK \l "_Toc75531155" </w:instrText>
          </w:r>
          <w:r>
            <w:fldChar w:fldCharType="separate"/>
          </w:r>
          <w:r>
            <w:rPr>
              <w:rStyle w:val="15"/>
              <w:rFonts w:ascii="Times New Roman" w:hAnsi="Times New Roman" w:eastAsia="微软雅黑" w:cs="Times New Roman"/>
              <w:kern w:val="0"/>
            </w:rPr>
            <w:t>一、主要依据</w:t>
          </w:r>
          <w:r>
            <w:tab/>
          </w:r>
          <w:r>
            <w:fldChar w:fldCharType="begin"/>
          </w:r>
          <w:r>
            <w:instrText xml:space="preserve"> PAGEREF _Toc75531155 \h </w:instrText>
          </w:r>
          <w:r>
            <w:fldChar w:fldCharType="separate"/>
          </w:r>
          <w:r>
            <w:t>20</w:t>
          </w:r>
          <w:r>
            <w:fldChar w:fldCharType="end"/>
          </w:r>
          <w:r>
            <w:fldChar w:fldCharType="end"/>
          </w:r>
        </w:p>
        <w:p>
          <w:pPr>
            <w:pStyle w:val="10"/>
            <w:tabs>
              <w:tab w:val="right" w:leader="dot" w:pos="9016"/>
            </w:tabs>
            <w:rPr>
              <w:szCs w:val="24"/>
            </w:rPr>
          </w:pPr>
          <w:r>
            <w:fldChar w:fldCharType="begin"/>
          </w:r>
          <w:r>
            <w:instrText xml:space="preserve"> HYPERLINK \l "_Toc75531156" </w:instrText>
          </w:r>
          <w:r>
            <w:fldChar w:fldCharType="separate"/>
          </w:r>
          <w:r>
            <w:rPr>
              <w:rStyle w:val="15"/>
              <w:rFonts w:ascii="Times New Roman" w:hAnsi="Times New Roman" w:eastAsia="微软雅黑" w:cs="Times New Roman"/>
              <w:kern w:val="0"/>
            </w:rPr>
            <w:t>二、财务评价</w:t>
          </w:r>
          <w:r>
            <w:tab/>
          </w:r>
          <w:r>
            <w:fldChar w:fldCharType="begin"/>
          </w:r>
          <w:r>
            <w:instrText xml:space="preserve"> PAGEREF _Toc75531156 \h </w:instrText>
          </w:r>
          <w:r>
            <w:fldChar w:fldCharType="separate"/>
          </w:r>
          <w:r>
            <w:t>20</w:t>
          </w:r>
          <w:r>
            <w:fldChar w:fldCharType="end"/>
          </w:r>
          <w:r>
            <w:fldChar w:fldCharType="end"/>
          </w:r>
        </w:p>
        <w:p>
          <w:pPr>
            <w:pStyle w:val="10"/>
            <w:tabs>
              <w:tab w:val="right" w:leader="dot" w:pos="9016"/>
            </w:tabs>
            <w:rPr>
              <w:szCs w:val="24"/>
            </w:rPr>
          </w:pPr>
          <w:r>
            <w:fldChar w:fldCharType="begin"/>
          </w:r>
          <w:r>
            <w:instrText xml:space="preserve"> HYPERLINK \l "_Toc75531157" </w:instrText>
          </w:r>
          <w:r>
            <w:fldChar w:fldCharType="separate"/>
          </w:r>
          <w:r>
            <w:rPr>
              <w:rStyle w:val="15"/>
              <w:rFonts w:ascii="Times New Roman" w:hAnsi="Times New Roman" w:eastAsia="微软雅黑" w:cs="Times New Roman"/>
              <w:kern w:val="0"/>
            </w:rPr>
            <w:t>三、总成本分析</w:t>
          </w:r>
          <w:r>
            <w:tab/>
          </w:r>
          <w:r>
            <w:fldChar w:fldCharType="begin"/>
          </w:r>
          <w:r>
            <w:instrText xml:space="preserve"> PAGEREF _Toc75531157 \h </w:instrText>
          </w:r>
          <w:r>
            <w:fldChar w:fldCharType="separate"/>
          </w:r>
          <w:r>
            <w:t>21</w:t>
          </w:r>
          <w:r>
            <w:fldChar w:fldCharType="end"/>
          </w:r>
          <w:r>
            <w:fldChar w:fldCharType="end"/>
          </w:r>
        </w:p>
        <w:p>
          <w:pPr>
            <w:pStyle w:val="10"/>
            <w:tabs>
              <w:tab w:val="right" w:leader="dot" w:pos="9016"/>
            </w:tabs>
            <w:rPr>
              <w:szCs w:val="24"/>
            </w:rPr>
          </w:pPr>
          <w:r>
            <w:fldChar w:fldCharType="begin"/>
          </w:r>
          <w:r>
            <w:instrText xml:space="preserve"> HYPERLINK \l "_Toc75531158" </w:instrText>
          </w:r>
          <w:r>
            <w:fldChar w:fldCharType="separate"/>
          </w:r>
          <w:r>
            <w:rPr>
              <w:rStyle w:val="15"/>
              <w:rFonts w:ascii="Times New Roman" w:hAnsi="Times New Roman" w:eastAsia="微软雅黑" w:cs="Times New Roman"/>
              <w:kern w:val="0"/>
            </w:rPr>
            <w:t>四、财务分析结论</w:t>
          </w:r>
          <w:r>
            <w:tab/>
          </w:r>
          <w:r>
            <w:fldChar w:fldCharType="begin"/>
          </w:r>
          <w:r>
            <w:instrText xml:space="preserve"> PAGEREF _Toc75531158 \h </w:instrText>
          </w:r>
          <w:r>
            <w:fldChar w:fldCharType="separate"/>
          </w:r>
          <w:r>
            <w:t>23</w:t>
          </w:r>
          <w:r>
            <w:fldChar w:fldCharType="end"/>
          </w:r>
          <w:r>
            <w:fldChar w:fldCharType="end"/>
          </w:r>
        </w:p>
        <w:p>
          <w:pPr>
            <w:pStyle w:val="10"/>
            <w:tabs>
              <w:tab w:val="right" w:leader="dot" w:pos="9016"/>
            </w:tabs>
            <w:rPr>
              <w:szCs w:val="24"/>
            </w:rPr>
          </w:pPr>
          <w:r>
            <w:fldChar w:fldCharType="begin"/>
          </w:r>
          <w:r>
            <w:instrText xml:space="preserve"> HYPERLINK \l "_Toc75531159" </w:instrText>
          </w:r>
          <w:r>
            <w:fldChar w:fldCharType="separate"/>
          </w:r>
          <w:r>
            <w:rPr>
              <w:rStyle w:val="15"/>
              <w:rFonts w:ascii="Times New Roman" w:hAnsi="Times New Roman" w:eastAsia="微软雅黑" w:cs="Times New Roman"/>
              <w:kern w:val="0"/>
            </w:rPr>
            <w:t>五、政府经营权的收入分析</w:t>
          </w:r>
          <w:r>
            <w:tab/>
          </w:r>
          <w:r>
            <w:fldChar w:fldCharType="begin"/>
          </w:r>
          <w:r>
            <w:instrText xml:space="preserve"> PAGEREF _Toc75531159 \h </w:instrText>
          </w:r>
          <w:r>
            <w:fldChar w:fldCharType="separate"/>
          </w:r>
          <w:r>
            <w:t>24</w:t>
          </w:r>
          <w:r>
            <w:fldChar w:fldCharType="end"/>
          </w:r>
          <w:r>
            <w:fldChar w:fldCharType="end"/>
          </w:r>
        </w:p>
        <w:p>
          <w:pPr>
            <w:pStyle w:val="8"/>
            <w:tabs>
              <w:tab w:val="right" w:leader="dot" w:pos="9016"/>
            </w:tabs>
            <w:rPr>
              <w:szCs w:val="24"/>
            </w:rPr>
          </w:pPr>
          <w:r>
            <w:fldChar w:fldCharType="begin"/>
          </w:r>
          <w:r>
            <w:instrText xml:space="preserve"> HYPERLINK \l "_Toc75531160" </w:instrText>
          </w:r>
          <w:r>
            <w:fldChar w:fldCharType="separate"/>
          </w:r>
          <w:r>
            <w:rPr>
              <w:rStyle w:val="15"/>
              <w:rFonts w:ascii="Times New Roman" w:hAnsi="Times New Roman" w:eastAsia="微软雅黑" w:cs="Times New Roman"/>
              <w:b/>
              <w:kern w:val="0"/>
            </w:rPr>
            <w:t>第六章 项目实施可行性分析</w:t>
          </w:r>
          <w:r>
            <w:tab/>
          </w:r>
          <w:r>
            <w:fldChar w:fldCharType="begin"/>
          </w:r>
          <w:r>
            <w:instrText xml:space="preserve"> PAGEREF _Toc75531160 \h </w:instrText>
          </w:r>
          <w:r>
            <w:fldChar w:fldCharType="separate"/>
          </w:r>
          <w:r>
            <w:t>25</w:t>
          </w:r>
          <w:r>
            <w:fldChar w:fldCharType="end"/>
          </w:r>
          <w:r>
            <w:fldChar w:fldCharType="end"/>
          </w:r>
        </w:p>
        <w:p>
          <w:pPr>
            <w:pStyle w:val="10"/>
            <w:tabs>
              <w:tab w:val="right" w:leader="dot" w:pos="9016"/>
            </w:tabs>
            <w:rPr>
              <w:szCs w:val="24"/>
            </w:rPr>
          </w:pPr>
          <w:r>
            <w:fldChar w:fldCharType="begin"/>
          </w:r>
          <w:r>
            <w:instrText xml:space="preserve"> HYPERLINK \l "_Toc75531161" </w:instrText>
          </w:r>
          <w:r>
            <w:fldChar w:fldCharType="separate"/>
          </w:r>
          <w:r>
            <w:rPr>
              <w:rStyle w:val="15"/>
              <w:rFonts w:ascii="Times New Roman" w:hAnsi="Times New Roman" w:eastAsia="微软雅黑" w:cs="Times New Roman"/>
              <w:kern w:val="0"/>
            </w:rPr>
            <w:t>一、经济效益及社会影响分析</w:t>
          </w:r>
          <w:r>
            <w:tab/>
          </w:r>
          <w:r>
            <w:fldChar w:fldCharType="begin"/>
          </w:r>
          <w:r>
            <w:instrText xml:space="preserve"> PAGEREF _Toc75531161 \h </w:instrText>
          </w:r>
          <w:r>
            <w:fldChar w:fldCharType="separate"/>
          </w:r>
          <w:r>
            <w:t>25</w:t>
          </w:r>
          <w:r>
            <w:fldChar w:fldCharType="end"/>
          </w:r>
          <w:r>
            <w:fldChar w:fldCharType="end"/>
          </w:r>
        </w:p>
        <w:p>
          <w:pPr>
            <w:pStyle w:val="10"/>
            <w:tabs>
              <w:tab w:val="right" w:leader="dot" w:pos="9016"/>
            </w:tabs>
            <w:rPr>
              <w:szCs w:val="24"/>
            </w:rPr>
          </w:pPr>
          <w:r>
            <w:fldChar w:fldCharType="begin"/>
          </w:r>
          <w:r>
            <w:instrText xml:space="preserve"> HYPERLINK \l "_Toc75531162" </w:instrText>
          </w:r>
          <w:r>
            <w:fldChar w:fldCharType="separate"/>
          </w:r>
          <w:r>
            <w:rPr>
              <w:rStyle w:val="15"/>
              <w:rFonts w:ascii="Times New Roman" w:hAnsi="Times New Roman" w:eastAsia="微软雅黑" w:cs="Times New Roman"/>
              <w:kern w:val="0"/>
            </w:rPr>
            <w:t>二、社会稳定风险分析</w:t>
          </w:r>
          <w:r>
            <w:tab/>
          </w:r>
          <w:r>
            <w:fldChar w:fldCharType="begin"/>
          </w:r>
          <w:r>
            <w:instrText xml:space="preserve"> PAGEREF _Toc75531162 \h </w:instrText>
          </w:r>
          <w:r>
            <w:fldChar w:fldCharType="separate"/>
          </w:r>
          <w:r>
            <w:t>26</w:t>
          </w:r>
          <w:r>
            <w:fldChar w:fldCharType="end"/>
          </w:r>
          <w:r>
            <w:fldChar w:fldCharType="end"/>
          </w:r>
        </w:p>
        <w:p>
          <w:pPr>
            <w:pStyle w:val="10"/>
            <w:tabs>
              <w:tab w:val="right" w:leader="dot" w:pos="9016"/>
            </w:tabs>
            <w:rPr>
              <w:szCs w:val="24"/>
            </w:rPr>
          </w:pPr>
          <w:r>
            <w:fldChar w:fldCharType="begin"/>
          </w:r>
          <w:r>
            <w:instrText xml:space="preserve"> HYPERLINK \l "_Toc75531163" </w:instrText>
          </w:r>
          <w:r>
            <w:fldChar w:fldCharType="separate"/>
          </w:r>
          <w:r>
            <w:rPr>
              <w:rStyle w:val="15"/>
              <w:rFonts w:ascii="Times New Roman" w:hAnsi="Times New Roman" w:eastAsia="微软雅黑" w:cs="Times New Roman"/>
              <w:kern w:val="0"/>
            </w:rPr>
            <w:t>三、经济风险分析</w:t>
          </w:r>
          <w:r>
            <w:tab/>
          </w:r>
          <w:r>
            <w:fldChar w:fldCharType="begin"/>
          </w:r>
          <w:r>
            <w:instrText xml:space="preserve"> PAGEREF _Toc75531163 \h </w:instrText>
          </w:r>
          <w:r>
            <w:fldChar w:fldCharType="separate"/>
          </w:r>
          <w:r>
            <w:t>30</w:t>
          </w:r>
          <w:r>
            <w:fldChar w:fldCharType="end"/>
          </w:r>
          <w:r>
            <w:fldChar w:fldCharType="end"/>
          </w:r>
        </w:p>
        <w:p>
          <w:pPr>
            <w:pStyle w:val="10"/>
            <w:tabs>
              <w:tab w:val="right" w:leader="dot" w:pos="9016"/>
            </w:tabs>
            <w:rPr>
              <w:szCs w:val="24"/>
            </w:rPr>
          </w:pPr>
          <w:r>
            <w:fldChar w:fldCharType="begin"/>
          </w:r>
          <w:r>
            <w:instrText xml:space="preserve"> HYPERLINK \l "_Toc75531164" </w:instrText>
          </w:r>
          <w:r>
            <w:fldChar w:fldCharType="separate"/>
          </w:r>
          <w:r>
            <w:rPr>
              <w:rStyle w:val="15"/>
              <w:rFonts w:ascii="Times New Roman" w:hAnsi="Times New Roman" w:eastAsia="微软雅黑" w:cs="Times New Roman"/>
              <w:kern w:val="0"/>
            </w:rPr>
            <w:t>四、可行性结论</w:t>
          </w:r>
          <w:r>
            <w:tab/>
          </w:r>
          <w:r>
            <w:fldChar w:fldCharType="begin"/>
          </w:r>
          <w:r>
            <w:instrText xml:space="preserve"> PAGEREF _Toc75531164 \h </w:instrText>
          </w:r>
          <w:r>
            <w:fldChar w:fldCharType="separate"/>
          </w:r>
          <w:r>
            <w:t>30</w:t>
          </w:r>
          <w:r>
            <w:fldChar w:fldCharType="end"/>
          </w:r>
          <w:r>
            <w:fldChar w:fldCharType="end"/>
          </w:r>
        </w:p>
        <w:p>
          <w:pPr>
            <w:pStyle w:val="8"/>
            <w:tabs>
              <w:tab w:val="right" w:leader="dot" w:pos="9016"/>
            </w:tabs>
            <w:rPr>
              <w:szCs w:val="24"/>
            </w:rPr>
          </w:pPr>
          <w:r>
            <w:fldChar w:fldCharType="begin"/>
          </w:r>
          <w:r>
            <w:instrText xml:space="preserve"> HYPERLINK \l "_Toc75531165" </w:instrText>
          </w:r>
          <w:r>
            <w:fldChar w:fldCharType="separate"/>
          </w:r>
          <w:r>
            <w:rPr>
              <w:rStyle w:val="15"/>
              <w:rFonts w:ascii="Times New Roman" w:hAnsi="Times New Roman" w:eastAsia="微软雅黑" w:cs="Times New Roman"/>
              <w:b/>
              <w:kern w:val="0"/>
            </w:rPr>
            <w:t>第七章 特许经营协议框架草案</w:t>
          </w:r>
          <w:r>
            <w:tab/>
          </w:r>
          <w:r>
            <w:fldChar w:fldCharType="begin"/>
          </w:r>
          <w:r>
            <w:instrText xml:space="preserve"> PAGEREF _Toc75531165 \h </w:instrText>
          </w:r>
          <w:r>
            <w:fldChar w:fldCharType="separate"/>
          </w:r>
          <w:r>
            <w:t>31</w:t>
          </w:r>
          <w:r>
            <w:fldChar w:fldCharType="end"/>
          </w:r>
          <w:r>
            <w:fldChar w:fldCharType="end"/>
          </w:r>
        </w:p>
        <w:p>
          <w:pPr>
            <w:pStyle w:val="10"/>
            <w:tabs>
              <w:tab w:val="right" w:leader="dot" w:pos="9016"/>
            </w:tabs>
            <w:rPr>
              <w:szCs w:val="24"/>
            </w:rPr>
          </w:pPr>
          <w:r>
            <w:fldChar w:fldCharType="begin"/>
          </w:r>
          <w:r>
            <w:instrText xml:space="preserve"> HYPERLINK \l "_Toc75531166" </w:instrText>
          </w:r>
          <w:r>
            <w:fldChar w:fldCharType="separate"/>
          </w:r>
          <w:r>
            <w:rPr>
              <w:rStyle w:val="15"/>
              <w:rFonts w:ascii="Times New Roman" w:hAnsi="Times New Roman" w:eastAsia="微软雅黑" w:cs="Times New Roman"/>
              <w:kern w:val="0"/>
            </w:rPr>
            <w:t>一、履约保函</w:t>
          </w:r>
          <w:r>
            <w:tab/>
          </w:r>
          <w:r>
            <w:fldChar w:fldCharType="begin"/>
          </w:r>
          <w:r>
            <w:instrText xml:space="preserve"> PAGEREF _Toc75531166 \h </w:instrText>
          </w:r>
          <w:r>
            <w:fldChar w:fldCharType="separate"/>
          </w:r>
          <w:r>
            <w:t>31</w:t>
          </w:r>
          <w:r>
            <w:fldChar w:fldCharType="end"/>
          </w:r>
          <w:r>
            <w:fldChar w:fldCharType="end"/>
          </w:r>
        </w:p>
        <w:p>
          <w:pPr>
            <w:pStyle w:val="10"/>
            <w:tabs>
              <w:tab w:val="right" w:leader="dot" w:pos="9016"/>
            </w:tabs>
            <w:rPr>
              <w:szCs w:val="24"/>
            </w:rPr>
          </w:pPr>
          <w:r>
            <w:fldChar w:fldCharType="begin"/>
          </w:r>
          <w:r>
            <w:instrText xml:space="preserve"> HYPERLINK \l "_Toc75531167" </w:instrText>
          </w:r>
          <w:r>
            <w:fldChar w:fldCharType="separate"/>
          </w:r>
          <w:r>
            <w:rPr>
              <w:rStyle w:val="15"/>
              <w:rFonts w:ascii="Times New Roman" w:hAnsi="Times New Roman" w:eastAsia="微软雅黑" w:cs="Times New Roman"/>
              <w:kern w:val="0"/>
            </w:rPr>
            <w:t>二、项目运营监管条款</w:t>
          </w:r>
          <w:r>
            <w:tab/>
          </w:r>
          <w:r>
            <w:fldChar w:fldCharType="begin"/>
          </w:r>
          <w:r>
            <w:instrText xml:space="preserve"> PAGEREF _Toc75531167 \h </w:instrText>
          </w:r>
          <w:r>
            <w:fldChar w:fldCharType="separate"/>
          </w:r>
          <w:r>
            <w:t>31</w:t>
          </w:r>
          <w:r>
            <w:fldChar w:fldCharType="end"/>
          </w:r>
          <w:r>
            <w:fldChar w:fldCharType="end"/>
          </w:r>
        </w:p>
        <w:p>
          <w:pPr>
            <w:pStyle w:val="10"/>
            <w:tabs>
              <w:tab w:val="right" w:leader="dot" w:pos="9016"/>
            </w:tabs>
            <w:rPr>
              <w:szCs w:val="24"/>
            </w:rPr>
          </w:pPr>
          <w:r>
            <w:fldChar w:fldCharType="begin"/>
          </w:r>
          <w:r>
            <w:instrText xml:space="preserve"> HYPERLINK \l "_Toc75531168" </w:instrText>
          </w:r>
          <w:r>
            <w:fldChar w:fldCharType="separate"/>
          </w:r>
          <w:r>
            <w:rPr>
              <w:rStyle w:val="15"/>
              <w:rFonts w:ascii="Times New Roman" w:hAnsi="Times New Roman" w:eastAsia="微软雅黑" w:cs="Times New Roman"/>
              <w:kern w:val="0"/>
            </w:rPr>
            <w:t>三、财务管理</w:t>
          </w:r>
          <w:r>
            <w:tab/>
          </w:r>
          <w:r>
            <w:fldChar w:fldCharType="begin"/>
          </w:r>
          <w:r>
            <w:instrText xml:space="preserve"> PAGEREF _Toc75531168 \h </w:instrText>
          </w:r>
          <w:r>
            <w:fldChar w:fldCharType="separate"/>
          </w:r>
          <w:r>
            <w:t>34</w:t>
          </w:r>
          <w:r>
            <w:fldChar w:fldCharType="end"/>
          </w:r>
          <w:r>
            <w:fldChar w:fldCharType="end"/>
          </w:r>
        </w:p>
        <w:p>
          <w:pPr>
            <w:pStyle w:val="10"/>
            <w:tabs>
              <w:tab w:val="right" w:leader="dot" w:pos="9016"/>
            </w:tabs>
            <w:rPr>
              <w:szCs w:val="24"/>
            </w:rPr>
          </w:pPr>
          <w:r>
            <w:fldChar w:fldCharType="begin"/>
          </w:r>
          <w:r>
            <w:instrText xml:space="preserve"> HYPERLINK \l "_Toc75531169" </w:instrText>
          </w:r>
          <w:r>
            <w:fldChar w:fldCharType="separate"/>
          </w:r>
          <w:r>
            <w:rPr>
              <w:rStyle w:val="15"/>
              <w:rFonts w:ascii="Times New Roman" w:hAnsi="Times New Roman" w:eastAsia="微软雅黑" w:cs="Times New Roman"/>
              <w:kern w:val="0"/>
            </w:rPr>
            <w:t>四、违约责任</w:t>
          </w:r>
          <w:r>
            <w:tab/>
          </w:r>
          <w:r>
            <w:fldChar w:fldCharType="begin"/>
          </w:r>
          <w:r>
            <w:instrText xml:space="preserve"> PAGEREF _Toc75531169 \h </w:instrText>
          </w:r>
          <w:r>
            <w:fldChar w:fldCharType="separate"/>
          </w:r>
          <w:r>
            <w:t>34</w:t>
          </w:r>
          <w:r>
            <w:fldChar w:fldCharType="end"/>
          </w:r>
          <w:r>
            <w:fldChar w:fldCharType="end"/>
          </w:r>
        </w:p>
        <w:p>
          <w:pPr>
            <w:pStyle w:val="10"/>
            <w:tabs>
              <w:tab w:val="right" w:leader="dot" w:pos="9016"/>
            </w:tabs>
            <w:rPr>
              <w:szCs w:val="24"/>
            </w:rPr>
          </w:pPr>
          <w:r>
            <w:fldChar w:fldCharType="begin"/>
          </w:r>
          <w:r>
            <w:instrText xml:space="preserve"> HYPERLINK \l "_Toc75531170" </w:instrText>
          </w:r>
          <w:r>
            <w:fldChar w:fldCharType="separate"/>
          </w:r>
          <w:r>
            <w:rPr>
              <w:rStyle w:val="15"/>
              <w:rFonts w:ascii="Times New Roman" w:hAnsi="Times New Roman" w:eastAsia="微软雅黑" w:cs="Times New Roman"/>
              <w:kern w:val="0"/>
            </w:rPr>
            <w:t>五、政府临时接管</w:t>
          </w:r>
          <w:r>
            <w:tab/>
          </w:r>
          <w:r>
            <w:fldChar w:fldCharType="begin"/>
          </w:r>
          <w:r>
            <w:instrText xml:space="preserve"> PAGEREF _Toc75531170 \h </w:instrText>
          </w:r>
          <w:r>
            <w:fldChar w:fldCharType="separate"/>
          </w:r>
          <w:r>
            <w:t>35</w:t>
          </w:r>
          <w:r>
            <w:fldChar w:fldCharType="end"/>
          </w:r>
          <w:r>
            <w:fldChar w:fldCharType="end"/>
          </w:r>
        </w:p>
        <w:p>
          <w:pPr>
            <w:pStyle w:val="8"/>
            <w:tabs>
              <w:tab w:val="right" w:leader="dot" w:pos="9016"/>
            </w:tabs>
            <w:rPr>
              <w:szCs w:val="24"/>
            </w:rPr>
          </w:pPr>
          <w:r>
            <w:fldChar w:fldCharType="begin"/>
          </w:r>
          <w:r>
            <w:instrText xml:space="preserve"> HYPERLINK \l "_Toc75531171" </w:instrText>
          </w:r>
          <w:r>
            <w:fldChar w:fldCharType="separate"/>
          </w:r>
          <w:r>
            <w:rPr>
              <w:rStyle w:val="15"/>
              <w:rFonts w:ascii="Times New Roman" w:hAnsi="Times New Roman" w:eastAsia="微软雅黑" w:cs="Times New Roman"/>
              <w:b/>
              <w:kern w:val="0"/>
            </w:rPr>
            <w:t>第八章 特许经营者应当具备的条件及选择方式</w:t>
          </w:r>
          <w:r>
            <w:tab/>
          </w:r>
          <w:r>
            <w:fldChar w:fldCharType="begin"/>
          </w:r>
          <w:r>
            <w:instrText xml:space="preserve"> PAGEREF _Toc75531171 \h </w:instrText>
          </w:r>
          <w:r>
            <w:fldChar w:fldCharType="separate"/>
          </w:r>
          <w:r>
            <w:t>37</w:t>
          </w:r>
          <w:r>
            <w:fldChar w:fldCharType="end"/>
          </w:r>
          <w:r>
            <w:fldChar w:fldCharType="end"/>
          </w:r>
        </w:p>
        <w:p>
          <w:pPr>
            <w:pStyle w:val="10"/>
            <w:tabs>
              <w:tab w:val="right" w:leader="dot" w:pos="9016"/>
            </w:tabs>
            <w:rPr>
              <w:szCs w:val="24"/>
            </w:rPr>
          </w:pPr>
          <w:r>
            <w:fldChar w:fldCharType="begin"/>
          </w:r>
          <w:r>
            <w:instrText xml:space="preserve"> HYPERLINK \l "_Toc75531172" </w:instrText>
          </w:r>
          <w:r>
            <w:fldChar w:fldCharType="separate"/>
          </w:r>
          <w:r>
            <w:rPr>
              <w:rStyle w:val="15"/>
              <w:rFonts w:ascii="Times New Roman" w:hAnsi="Times New Roman" w:eastAsia="微软雅黑" w:cs="Times New Roman"/>
              <w:kern w:val="0"/>
            </w:rPr>
            <w:t>一、特许经营者的选择方式</w:t>
          </w:r>
          <w:r>
            <w:tab/>
          </w:r>
          <w:r>
            <w:fldChar w:fldCharType="begin"/>
          </w:r>
          <w:r>
            <w:instrText xml:space="preserve"> PAGEREF _Toc75531172 \h </w:instrText>
          </w:r>
          <w:r>
            <w:fldChar w:fldCharType="separate"/>
          </w:r>
          <w:r>
            <w:t>37</w:t>
          </w:r>
          <w:r>
            <w:fldChar w:fldCharType="end"/>
          </w:r>
          <w:r>
            <w:fldChar w:fldCharType="end"/>
          </w:r>
        </w:p>
        <w:p>
          <w:pPr>
            <w:pStyle w:val="10"/>
            <w:tabs>
              <w:tab w:val="right" w:leader="dot" w:pos="9016"/>
            </w:tabs>
            <w:rPr>
              <w:szCs w:val="24"/>
            </w:rPr>
          </w:pPr>
          <w:r>
            <w:fldChar w:fldCharType="begin"/>
          </w:r>
          <w:r>
            <w:instrText xml:space="preserve"> HYPERLINK \l "_Toc75531173" </w:instrText>
          </w:r>
          <w:r>
            <w:fldChar w:fldCharType="separate"/>
          </w:r>
          <w:r>
            <w:rPr>
              <w:rStyle w:val="15"/>
              <w:rFonts w:ascii="Times New Roman" w:hAnsi="Times New Roman" w:eastAsia="微软雅黑" w:cs="Times New Roman"/>
              <w:kern w:val="0"/>
            </w:rPr>
            <w:t>二、项目招标的依据</w:t>
          </w:r>
          <w:r>
            <w:tab/>
          </w:r>
          <w:r>
            <w:fldChar w:fldCharType="begin"/>
          </w:r>
          <w:r>
            <w:instrText xml:space="preserve"> PAGEREF _Toc75531173 \h </w:instrText>
          </w:r>
          <w:r>
            <w:fldChar w:fldCharType="separate"/>
          </w:r>
          <w:r>
            <w:t>37</w:t>
          </w:r>
          <w:r>
            <w:fldChar w:fldCharType="end"/>
          </w:r>
          <w:r>
            <w:fldChar w:fldCharType="end"/>
          </w:r>
        </w:p>
        <w:p>
          <w:pPr>
            <w:pStyle w:val="10"/>
            <w:tabs>
              <w:tab w:val="right" w:leader="dot" w:pos="9016"/>
            </w:tabs>
            <w:rPr>
              <w:szCs w:val="24"/>
            </w:rPr>
          </w:pPr>
          <w:r>
            <w:fldChar w:fldCharType="begin"/>
          </w:r>
          <w:r>
            <w:instrText xml:space="preserve"> HYPERLINK \l "_Toc75531174" </w:instrText>
          </w:r>
          <w:r>
            <w:fldChar w:fldCharType="separate"/>
          </w:r>
          <w:r>
            <w:rPr>
              <w:rStyle w:val="15"/>
              <w:rFonts w:ascii="Times New Roman" w:hAnsi="Times New Roman" w:eastAsia="微软雅黑" w:cs="Times New Roman"/>
              <w:kern w:val="0"/>
            </w:rPr>
            <w:t>三、应具备的条件</w:t>
          </w:r>
          <w:r>
            <w:tab/>
          </w:r>
          <w:r>
            <w:fldChar w:fldCharType="begin"/>
          </w:r>
          <w:r>
            <w:instrText xml:space="preserve"> PAGEREF _Toc75531174 \h </w:instrText>
          </w:r>
          <w:r>
            <w:fldChar w:fldCharType="separate"/>
          </w:r>
          <w:r>
            <w:t>37</w:t>
          </w:r>
          <w:r>
            <w:fldChar w:fldCharType="end"/>
          </w:r>
          <w:r>
            <w:fldChar w:fldCharType="end"/>
          </w:r>
        </w:p>
        <w:p>
          <w:pPr>
            <w:pStyle w:val="8"/>
            <w:tabs>
              <w:tab w:val="right" w:leader="dot" w:pos="9016"/>
            </w:tabs>
            <w:rPr>
              <w:szCs w:val="24"/>
            </w:rPr>
          </w:pPr>
          <w:r>
            <w:fldChar w:fldCharType="begin"/>
          </w:r>
          <w:r>
            <w:instrText xml:space="preserve"> HYPERLINK \l "_Toc75531175" </w:instrText>
          </w:r>
          <w:r>
            <w:fldChar w:fldCharType="separate"/>
          </w:r>
          <w:r>
            <w:rPr>
              <w:rStyle w:val="15"/>
              <w:rFonts w:ascii="Times New Roman" w:hAnsi="Times New Roman" w:eastAsia="微软雅黑" w:cs="Times New Roman"/>
              <w:b/>
              <w:kern w:val="0"/>
            </w:rPr>
            <w:t>第九章 政府承诺和保障</w:t>
          </w:r>
          <w:r>
            <w:tab/>
          </w:r>
          <w:r>
            <w:fldChar w:fldCharType="begin"/>
          </w:r>
          <w:r>
            <w:instrText xml:space="preserve"> PAGEREF _Toc75531175 \h </w:instrText>
          </w:r>
          <w:r>
            <w:fldChar w:fldCharType="separate"/>
          </w:r>
          <w:r>
            <w:t>39</w:t>
          </w:r>
          <w:r>
            <w:fldChar w:fldCharType="end"/>
          </w:r>
          <w:r>
            <w:fldChar w:fldCharType="end"/>
          </w:r>
        </w:p>
        <w:p>
          <w:pPr>
            <w:pStyle w:val="8"/>
            <w:tabs>
              <w:tab w:val="right" w:leader="dot" w:pos="9016"/>
            </w:tabs>
            <w:rPr>
              <w:szCs w:val="24"/>
            </w:rPr>
          </w:pPr>
          <w:r>
            <w:fldChar w:fldCharType="begin"/>
          </w:r>
          <w:r>
            <w:instrText xml:space="preserve"> HYPERLINK \l "_Toc75531176" </w:instrText>
          </w:r>
          <w:r>
            <w:fldChar w:fldCharType="separate"/>
          </w:r>
          <w:r>
            <w:rPr>
              <w:rStyle w:val="15"/>
              <w:rFonts w:ascii="Times New Roman" w:hAnsi="Times New Roman" w:eastAsia="微软雅黑" w:cs="Times New Roman"/>
              <w:b/>
              <w:kern w:val="0"/>
            </w:rPr>
            <w:t>第十章 特许经营期限届满后资产处置方式</w:t>
          </w:r>
          <w:r>
            <w:tab/>
          </w:r>
          <w:r>
            <w:fldChar w:fldCharType="begin"/>
          </w:r>
          <w:r>
            <w:instrText xml:space="preserve"> PAGEREF _Toc75531176 \h </w:instrText>
          </w:r>
          <w:r>
            <w:fldChar w:fldCharType="separate"/>
          </w:r>
          <w:r>
            <w:t>40</w:t>
          </w:r>
          <w:r>
            <w:fldChar w:fldCharType="end"/>
          </w:r>
          <w:r>
            <w:fldChar w:fldCharType="end"/>
          </w:r>
        </w:p>
        <w:p>
          <w:pPr>
            <w:pStyle w:val="8"/>
            <w:tabs>
              <w:tab w:val="right" w:leader="dot" w:pos="9016"/>
            </w:tabs>
            <w:rPr>
              <w:szCs w:val="24"/>
            </w:rPr>
          </w:pPr>
          <w:r>
            <w:fldChar w:fldCharType="begin"/>
          </w:r>
          <w:r>
            <w:instrText xml:space="preserve"> HYPERLINK \l "_Toc75531177" </w:instrText>
          </w:r>
          <w:r>
            <w:fldChar w:fldCharType="separate"/>
          </w:r>
          <w:r>
            <w:rPr>
              <w:rStyle w:val="15"/>
              <w:rFonts w:ascii="Times New Roman" w:hAnsi="Times New Roman" w:eastAsia="微软雅黑" w:cs="Times New Roman"/>
              <w:b/>
              <w:kern w:val="0"/>
            </w:rPr>
            <w:t>第十一章 应当明确的其他事项</w:t>
          </w:r>
          <w:r>
            <w:tab/>
          </w:r>
          <w:r>
            <w:fldChar w:fldCharType="begin"/>
          </w:r>
          <w:r>
            <w:instrText xml:space="preserve"> PAGEREF _Toc75531177 \h </w:instrText>
          </w:r>
          <w:r>
            <w:fldChar w:fldCharType="separate"/>
          </w:r>
          <w:r>
            <w:t>41</w:t>
          </w:r>
          <w:r>
            <w:fldChar w:fldCharType="end"/>
          </w:r>
          <w:r>
            <w:fldChar w:fldCharType="end"/>
          </w:r>
        </w:p>
        <w:p>
          <w:pPr>
            <w:rPr>
              <w:rFonts w:ascii="Times New Roman" w:hAnsi="Times New Roman" w:eastAsia="宋体" w:cs="Times New Roman"/>
              <w:color w:val="000000"/>
              <w:kern w:val="0"/>
              <w:sz w:val="36"/>
              <w:szCs w:val="24"/>
            </w:rPr>
          </w:pPr>
          <w:r>
            <w:rPr>
              <w:rFonts w:ascii="Times New Roman" w:hAnsi="Times New Roman" w:cs="Times New Roman"/>
              <w:b/>
              <w:bCs/>
              <w:sz w:val="28"/>
              <w:lang w:val="zh-CN"/>
            </w:rPr>
            <w:fldChar w:fldCharType="end"/>
          </w:r>
        </w:p>
      </w:sdtContent>
    </w:sdt>
    <w:p>
      <w:pPr>
        <w:spacing w:line="360" w:lineRule="auto"/>
        <w:jc w:val="left"/>
        <w:outlineLvl w:val="0"/>
        <w:rPr>
          <w:rFonts w:ascii="Times New Roman" w:hAnsi="Times New Roman" w:eastAsia="微软雅黑" w:cs="Times New Roman"/>
          <w:b/>
          <w:color w:val="000000"/>
          <w:kern w:val="0"/>
          <w:sz w:val="32"/>
          <w:szCs w:val="24"/>
        </w:rPr>
        <w:sectPr>
          <w:pgSz w:w="11906" w:h="16838"/>
          <w:pgMar w:top="1440" w:right="1440" w:bottom="1440" w:left="1440" w:header="851" w:footer="992" w:gutter="0"/>
          <w:pgNumType w:start="1"/>
          <w:cols w:space="425" w:num="1"/>
          <w:docGrid w:type="lines" w:linePitch="312" w:charSpace="0"/>
        </w:sectPr>
      </w:pPr>
    </w:p>
    <w:p>
      <w:pPr>
        <w:spacing w:line="360" w:lineRule="auto"/>
        <w:jc w:val="center"/>
        <w:outlineLvl w:val="0"/>
        <w:rPr>
          <w:rFonts w:ascii="Times New Roman" w:hAnsi="Times New Roman" w:eastAsia="微软雅黑" w:cs="Times New Roman"/>
          <w:b/>
          <w:color w:val="000000"/>
          <w:kern w:val="0"/>
          <w:sz w:val="32"/>
          <w:szCs w:val="24"/>
        </w:rPr>
      </w:pPr>
      <w:bookmarkStart w:id="0" w:name="_Toc75531134"/>
      <w:r>
        <w:rPr>
          <w:rFonts w:ascii="Times New Roman" w:hAnsi="Times New Roman" w:eastAsia="微软雅黑" w:cs="Times New Roman"/>
          <w:b/>
          <w:color w:val="000000"/>
          <w:kern w:val="0"/>
          <w:sz w:val="32"/>
          <w:szCs w:val="24"/>
        </w:rPr>
        <w:t>第一章 项目概况</w:t>
      </w:r>
      <w:bookmarkEnd w:id="0"/>
    </w:p>
    <w:p>
      <w:pPr>
        <w:spacing w:line="360" w:lineRule="auto"/>
        <w:ind w:firstLine="480" w:firstLineChars="200"/>
        <w:outlineLvl w:val="1"/>
        <w:rPr>
          <w:rFonts w:ascii="Times New Roman" w:hAnsi="Times New Roman" w:eastAsia="微软雅黑" w:cs="Times New Roman"/>
          <w:color w:val="000000"/>
          <w:kern w:val="0"/>
          <w:sz w:val="24"/>
          <w:szCs w:val="24"/>
        </w:rPr>
      </w:pPr>
      <w:bookmarkStart w:id="1" w:name="_Toc75531135"/>
      <w:r>
        <w:rPr>
          <w:rFonts w:ascii="Times New Roman" w:hAnsi="Times New Roman" w:eastAsia="微软雅黑" w:cs="Times New Roman"/>
          <w:color w:val="000000"/>
          <w:kern w:val="0"/>
          <w:sz w:val="24"/>
          <w:szCs w:val="24"/>
        </w:rPr>
        <w:t>一、项目</w:t>
      </w:r>
      <w:r>
        <w:rPr>
          <w:rFonts w:hint="eastAsia" w:ascii="Times New Roman" w:hAnsi="Times New Roman" w:eastAsia="微软雅黑" w:cs="Times New Roman"/>
          <w:color w:val="000000"/>
          <w:kern w:val="0"/>
          <w:sz w:val="24"/>
          <w:szCs w:val="24"/>
        </w:rPr>
        <w:t>名称</w:t>
      </w:r>
      <w:bookmarkEnd w:id="1"/>
    </w:p>
    <w:p>
      <w:pPr>
        <w:spacing w:line="360" w:lineRule="auto"/>
        <w:ind w:firstLine="480" w:firstLineChars="200"/>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为了更好的规范</w:t>
      </w:r>
      <w:r>
        <w:rPr>
          <w:rFonts w:hint="eastAsia" w:ascii="Times New Roman" w:hAnsi="Times New Roman" w:eastAsia="宋体" w:cs="Times New Roman"/>
          <w:color w:val="000000"/>
          <w:kern w:val="0"/>
          <w:sz w:val="24"/>
          <w:szCs w:val="24"/>
        </w:rPr>
        <w:t>鹤山市智慧停车</w:t>
      </w:r>
      <w:r>
        <w:rPr>
          <w:rFonts w:ascii="Times New Roman" w:hAnsi="Times New Roman" w:eastAsia="宋体" w:cs="Times New Roman"/>
          <w:color w:val="000000"/>
          <w:kern w:val="0"/>
          <w:sz w:val="24"/>
          <w:szCs w:val="24"/>
        </w:rPr>
        <w:t>的特许经营工作，</w:t>
      </w:r>
      <w:r>
        <w:rPr>
          <w:rFonts w:hint="eastAsia" w:ascii="Times New Roman" w:hAnsi="Times New Roman" w:eastAsia="宋体" w:cs="Times New Roman"/>
          <w:color w:val="000000"/>
          <w:kern w:val="0"/>
          <w:sz w:val="24"/>
          <w:szCs w:val="24"/>
        </w:rPr>
        <w:t>鹤山</w:t>
      </w:r>
      <w:r>
        <w:rPr>
          <w:rFonts w:ascii="Times New Roman" w:hAnsi="Times New Roman" w:eastAsia="宋体" w:cs="Times New Roman"/>
          <w:color w:val="000000"/>
          <w:kern w:val="0"/>
          <w:sz w:val="24"/>
          <w:szCs w:val="24"/>
        </w:rPr>
        <w:t>市政府决定授权</w:t>
      </w:r>
      <w:r>
        <w:rPr>
          <w:rFonts w:hint="eastAsia" w:ascii="Times New Roman" w:hAnsi="Times New Roman" w:eastAsia="宋体" w:cs="Times New Roman"/>
          <w:color w:val="000000"/>
          <w:kern w:val="0"/>
          <w:sz w:val="24"/>
          <w:szCs w:val="24"/>
        </w:rPr>
        <w:t>鹤山市城市管理和综合执法局为牵头主管单位，以国资公司鹤山市城乡市政服务有限公司为实施主体，该实施主体在授权范围内负责项目具体特许经营项目实施方案的编制、招标文件审核，通过公开招投标的形式向社会招募专业的城市级智慧停车供应运营商作为特许经营权的授予为经营主体，该供应运营商负责整体项目的投资、实施和运营。</w:t>
      </w:r>
    </w:p>
    <w:p>
      <w:pPr>
        <w:spacing w:line="360" w:lineRule="auto"/>
        <w:ind w:firstLine="480" w:firstLineChars="200"/>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鉴于此，本项目的名称定为：</w:t>
      </w:r>
      <w:r>
        <w:rPr>
          <w:rFonts w:hint="eastAsia" w:ascii="Times New Roman" w:hAnsi="Times New Roman" w:eastAsia="宋体" w:cs="Times New Roman"/>
          <w:color w:val="000000"/>
          <w:kern w:val="0"/>
          <w:sz w:val="24"/>
          <w:szCs w:val="24"/>
        </w:rPr>
        <w:t>鹤山市智慧停车项目</w:t>
      </w:r>
      <w:r>
        <w:rPr>
          <w:rFonts w:ascii="Times New Roman" w:hAnsi="Times New Roman" w:eastAsia="宋体" w:cs="Times New Roman"/>
          <w:color w:val="000000"/>
          <w:kern w:val="0"/>
          <w:sz w:val="24"/>
          <w:szCs w:val="24"/>
        </w:rPr>
        <w:t>。</w:t>
      </w:r>
    </w:p>
    <w:p>
      <w:pPr>
        <w:spacing w:line="360" w:lineRule="auto"/>
        <w:ind w:firstLine="480" w:firstLineChars="200"/>
        <w:outlineLvl w:val="1"/>
        <w:rPr>
          <w:rFonts w:ascii="Times New Roman" w:hAnsi="Times New Roman" w:eastAsia="微软雅黑" w:cs="Times New Roman"/>
          <w:color w:val="000000"/>
          <w:kern w:val="0"/>
          <w:sz w:val="24"/>
          <w:szCs w:val="24"/>
        </w:rPr>
      </w:pPr>
      <w:bookmarkStart w:id="2" w:name="_Toc75531136"/>
      <w:r>
        <w:rPr>
          <w:rFonts w:hint="eastAsia" w:ascii="Times New Roman" w:hAnsi="Times New Roman" w:eastAsia="微软雅黑" w:cs="Times New Roman"/>
          <w:color w:val="000000"/>
          <w:kern w:val="0"/>
          <w:sz w:val="24"/>
          <w:szCs w:val="24"/>
        </w:rPr>
        <w:t>二</w:t>
      </w:r>
      <w:r>
        <w:rPr>
          <w:rFonts w:ascii="Times New Roman" w:hAnsi="Times New Roman" w:eastAsia="微软雅黑" w:cs="Times New Roman"/>
          <w:color w:val="000000"/>
          <w:kern w:val="0"/>
          <w:sz w:val="24"/>
          <w:szCs w:val="24"/>
        </w:rPr>
        <w:t>、项目背景</w:t>
      </w:r>
      <w:bookmarkEnd w:id="2"/>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随着我国经济持续稳定增长和汽车工业的迅猛发展，城市机动车保有量急剧增长，城市停车设施不足带来的停车难问题也日益严重。根据交通</w:t>
      </w:r>
      <w:r>
        <w:rPr>
          <w:rFonts w:hint="eastAsia" w:ascii="Times New Roman" w:hAnsi="Times New Roman" w:eastAsia="宋体" w:cs="Times New Roman"/>
          <w:color w:val="000000"/>
          <w:kern w:val="0"/>
          <w:sz w:val="24"/>
          <w:szCs w:val="24"/>
          <w:lang w:eastAsia="zh-CN"/>
        </w:rPr>
        <w:t>运输</w:t>
      </w:r>
      <w:r>
        <w:rPr>
          <w:rFonts w:hint="eastAsia" w:ascii="Times New Roman" w:hAnsi="Times New Roman" w:eastAsia="宋体" w:cs="Times New Roman"/>
          <w:color w:val="000000"/>
          <w:kern w:val="0"/>
          <w:sz w:val="24"/>
          <w:szCs w:val="24"/>
        </w:rPr>
        <w:t>部门提供的数据，本项目目前汽车保有量为</w:t>
      </w:r>
      <w:r>
        <w:rPr>
          <w:rFonts w:ascii="Times New Roman" w:hAnsi="Times New Roman" w:eastAsia="宋体" w:cs="Times New Roman"/>
          <w:color w:val="000000"/>
          <w:kern w:val="0"/>
          <w:sz w:val="24"/>
          <w:szCs w:val="24"/>
        </w:rPr>
        <w:t>109001</w:t>
      </w:r>
      <w:r>
        <w:rPr>
          <w:rFonts w:hint="eastAsia" w:ascii="Times New Roman" w:hAnsi="Times New Roman" w:eastAsia="宋体" w:cs="Times New Roman"/>
          <w:color w:val="000000"/>
          <w:kern w:val="0"/>
          <w:sz w:val="24"/>
          <w:szCs w:val="24"/>
        </w:rPr>
        <w:t>辆，2018年新增11124辆、2019年新增10739辆、2020年新增7090辆、2021年1-5月份新增</w:t>
      </w:r>
      <w:r>
        <w:rPr>
          <w:rFonts w:ascii="Times New Roman" w:hAnsi="Times New Roman" w:eastAsia="宋体" w:cs="Times New Roman"/>
          <w:color w:val="000000"/>
          <w:kern w:val="0"/>
          <w:sz w:val="24"/>
          <w:szCs w:val="24"/>
        </w:rPr>
        <w:t>6486</w:t>
      </w:r>
      <w:r>
        <w:rPr>
          <w:rFonts w:hint="eastAsia" w:ascii="Times New Roman" w:hAnsi="Times New Roman" w:eastAsia="宋体" w:cs="Times New Roman"/>
          <w:color w:val="000000"/>
          <w:kern w:val="0"/>
          <w:sz w:val="24"/>
          <w:szCs w:val="24"/>
        </w:rPr>
        <w:t>辆。</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据不完全统计，现阶段本项目城区的停车位约43170个，其中公共免费停车位11050个（路边停车位6450个、开放式小区停车位4100个、公园配套停车位500个）、收费停车位32120个（出租公共停车场车位990个、物业管理小区停车位31130个），统计数据包含道路、开放式小区及、出租的公共停车场及物业小区停车场，相关社会商业停车场及商业综合体停车场等没有纳入统计范围。</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目前本项目有规范的泊位划线，由交警部门采用劝导教育与违停处罚相结合的方式管理，但是泊位整体周转率底下，普遍存在停车资源利用效率低，常见长期占位现象，停车难或找位难等问题。由于停车设施建设不足，供求关系矛盾大，市民出行停车难问题尤为突出，更影响了交通通行，造成交通拥塞，“停车难”日益成为制约城市经济与社会发展的“瓶颈”。</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随着“互联网+停车”技术的应用和推广，结合本项目道路的实际情况，拟对本项目部分路内停车位及停车场建设停车智慧系统，实现数据共享、资源整合，助力本项目停车智慧化，以此为推手，来推动本项目整体智慧城市的建设；并借此项目的相关经验推广到整个城区及各镇，最终通过实施智慧停车项目缓解停车难的问题。</w:t>
      </w:r>
    </w:p>
    <w:p>
      <w:pPr>
        <w:spacing w:line="360" w:lineRule="auto"/>
        <w:ind w:firstLine="480" w:firstLineChars="200"/>
        <w:outlineLvl w:val="1"/>
        <w:rPr>
          <w:rFonts w:ascii="Times New Roman" w:hAnsi="Times New Roman" w:eastAsia="微软雅黑" w:cs="Times New Roman"/>
          <w:color w:val="000000"/>
          <w:kern w:val="0"/>
          <w:sz w:val="24"/>
          <w:szCs w:val="24"/>
        </w:rPr>
      </w:pPr>
      <w:bookmarkStart w:id="3" w:name="_Toc75531137"/>
      <w:r>
        <w:rPr>
          <w:rFonts w:hint="eastAsia" w:ascii="Times New Roman" w:hAnsi="Times New Roman" w:eastAsia="微软雅黑" w:cs="Times New Roman"/>
          <w:color w:val="000000"/>
          <w:kern w:val="0"/>
          <w:sz w:val="24"/>
          <w:szCs w:val="24"/>
        </w:rPr>
        <w:t>三、项目目标</w:t>
      </w:r>
      <w:bookmarkEnd w:id="3"/>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城市智慧停车项目是指采用互联网平台、智能化物联网传感器和诱导系统等技术，将</w:t>
      </w:r>
      <w:r>
        <w:rPr>
          <w:rFonts w:ascii="Times New Roman" w:hAnsi="Times New Roman" w:eastAsia="宋体" w:cs="Times New Roman"/>
          <w:color w:val="000000"/>
          <w:kern w:val="0"/>
          <w:sz w:val="24"/>
          <w:szCs w:val="24"/>
        </w:rPr>
        <w:t>分散在各处的停车场实现智能联网数据上传，实现对各个停车场停车数据进行实时发布，引导司机实现便捷停车，解决城市停车难问题的智能系统</w:t>
      </w:r>
      <w:r>
        <w:rPr>
          <w:rFonts w:hint="eastAsia" w:ascii="Times New Roman" w:hAnsi="Times New Roman" w:eastAsia="宋体" w:cs="Times New Roman"/>
          <w:color w:val="000000"/>
          <w:kern w:val="0"/>
          <w:sz w:val="24"/>
          <w:szCs w:val="24"/>
        </w:rPr>
        <w:t>，使停车资源利用达到最大化。</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探索城市停车“1+2+N”模式，即“通过一个智慧停车运营云平台，以城市道路、公共停车场两个切入点，辐射商业网点、物业小区、旅游景区、机关事业单位等诸多领域的停车管理”。提高停车资源利用效率，建立完善市场决定价格的机动车停放服务收费机制，加强市场价格监管，积极发挥价格杠杆对供需关系的调节作用，使城市停车泊位资源更加公平、高效的利用。引导市民有序停放机动车辆，倡导绿色出行。</w:t>
      </w:r>
    </w:p>
    <w:p>
      <w:pPr>
        <w:spacing w:line="360" w:lineRule="auto"/>
        <w:ind w:firstLine="480" w:firstLineChars="200"/>
      </w:pPr>
      <w:r>
        <w:rPr>
          <w:rFonts w:hint="eastAsia" w:ascii="Times New Roman" w:hAnsi="Times New Roman" w:eastAsia="宋体" w:cs="Times New Roman"/>
          <w:color w:val="000000"/>
          <w:kern w:val="0"/>
          <w:sz w:val="24"/>
          <w:szCs w:val="24"/>
        </w:rPr>
        <w:t>经调研，智慧停车项目投入运营后成效显著：一是提高车位周转率，满足车辆临停需求；二是车辆停放更加整齐规范有序；三是缓解交通压力、降低交通事故发生率；四是提升沿街商铺经济效益；五是道路更加干净整洁，改善城市整体形象；六是为政府相关决策提供数据依据等。</w:t>
      </w:r>
    </w:p>
    <w:p>
      <w:pPr>
        <w:spacing w:line="360" w:lineRule="auto"/>
        <w:ind w:firstLine="480" w:firstLineChars="200"/>
        <w:rPr>
          <w:rFonts w:ascii="Times New Roman" w:hAnsi="Times New Roman" w:eastAsia="宋体" w:cs="Times New Roman"/>
          <w:color w:val="000000"/>
          <w:kern w:val="0"/>
          <w:sz w:val="24"/>
          <w:szCs w:val="24"/>
        </w:rPr>
      </w:pPr>
    </w:p>
    <w:p/>
    <w:p/>
    <w:p/>
    <w:p>
      <w:pPr>
        <w:spacing w:line="360" w:lineRule="auto"/>
        <w:ind w:firstLine="480" w:firstLineChars="200"/>
        <w:rPr>
          <w:rFonts w:ascii="Times New Roman" w:hAnsi="Times New Roman" w:eastAsia="宋体" w:cs="Times New Roman"/>
          <w:color w:val="000000"/>
          <w:kern w:val="0"/>
          <w:sz w:val="24"/>
          <w:szCs w:val="24"/>
        </w:rPr>
      </w:pPr>
    </w:p>
    <w:p>
      <w:pPr>
        <w:spacing w:line="360" w:lineRule="auto"/>
        <w:ind w:firstLine="480" w:firstLineChars="200"/>
        <w:rPr>
          <w:rFonts w:ascii="Times New Roman" w:hAnsi="Times New Roman" w:eastAsia="宋体" w:cs="Times New Roman"/>
          <w:color w:val="000000"/>
          <w:kern w:val="0"/>
          <w:sz w:val="24"/>
          <w:szCs w:val="24"/>
        </w:rPr>
      </w:pPr>
    </w:p>
    <w:p>
      <w:pPr>
        <w:spacing w:line="360" w:lineRule="auto"/>
        <w:ind w:firstLine="643" w:firstLineChars="200"/>
        <w:rPr>
          <w:rFonts w:ascii="仿宋_GB2312" w:hAnsi="仿宋" w:eastAsia="仿宋_GB2312" w:cs="仿宋"/>
          <w:b/>
          <w:sz w:val="32"/>
          <w:szCs w:val="32"/>
        </w:rPr>
      </w:pPr>
    </w:p>
    <w:p>
      <w:pPr>
        <w:spacing w:line="360" w:lineRule="auto"/>
        <w:ind w:firstLine="640"/>
        <w:rPr>
          <w:rFonts w:ascii="Times New Roman" w:hAnsi="Times New Roman" w:eastAsia="宋体" w:cs="Times New Roman"/>
          <w:color w:val="000000"/>
          <w:kern w:val="0"/>
          <w:sz w:val="24"/>
          <w:szCs w:val="24"/>
        </w:rPr>
      </w:pPr>
    </w:p>
    <w:p>
      <w:pPr>
        <w:spacing w:line="360" w:lineRule="auto"/>
        <w:jc w:val="center"/>
        <w:outlineLvl w:val="0"/>
        <w:rPr>
          <w:rFonts w:ascii="Times New Roman" w:hAnsi="Times New Roman" w:eastAsia="微软雅黑" w:cs="Times New Roman"/>
          <w:b/>
          <w:color w:val="000000"/>
          <w:kern w:val="0"/>
          <w:sz w:val="32"/>
          <w:szCs w:val="24"/>
        </w:rPr>
      </w:pPr>
      <w:r>
        <w:rPr>
          <w:rFonts w:ascii="Times New Roman" w:hAnsi="Times New Roman" w:eastAsia="微软雅黑" w:cs="Times New Roman"/>
          <w:b/>
          <w:color w:val="000000"/>
          <w:kern w:val="0"/>
          <w:sz w:val="32"/>
          <w:szCs w:val="24"/>
        </w:rPr>
        <w:br w:type="page"/>
      </w:r>
    </w:p>
    <w:p>
      <w:pPr>
        <w:spacing w:line="360" w:lineRule="auto"/>
        <w:jc w:val="center"/>
        <w:outlineLvl w:val="0"/>
        <w:rPr>
          <w:rFonts w:ascii="Times New Roman" w:hAnsi="Times New Roman" w:eastAsia="微软雅黑" w:cs="Times New Roman"/>
          <w:b/>
          <w:color w:val="000000"/>
          <w:kern w:val="0"/>
          <w:sz w:val="32"/>
          <w:szCs w:val="24"/>
        </w:rPr>
      </w:pPr>
      <w:bookmarkStart w:id="4" w:name="_Toc75531138"/>
      <w:r>
        <w:rPr>
          <w:rFonts w:ascii="Times New Roman" w:hAnsi="Times New Roman" w:eastAsia="微软雅黑" w:cs="Times New Roman"/>
          <w:b/>
          <w:color w:val="000000"/>
          <w:kern w:val="0"/>
          <w:sz w:val="32"/>
          <w:szCs w:val="24"/>
        </w:rPr>
        <w:t>第二章 项目实施组织机构</w:t>
      </w:r>
      <w:bookmarkEnd w:id="4"/>
    </w:p>
    <w:p>
      <w:pPr>
        <w:spacing w:line="360" w:lineRule="auto"/>
        <w:ind w:firstLine="480" w:firstLineChars="200"/>
        <w:outlineLvl w:val="1"/>
        <w:rPr>
          <w:rFonts w:ascii="Times New Roman" w:hAnsi="Times New Roman" w:eastAsia="微软雅黑" w:cs="Times New Roman"/>
          <w:color w:val="000000"/>
          <w:kern w:val="0"/>
          <w:sz w:val="24"/>
          <w:szCs w:val="24"/>
        </w:rPr>
      </w:pPr>
      <w:bookmarkStart w:id="5" w:name="_Toc75531139"/>
      <w:r>
        <w:rPr>
          <w:rFonts w:hint="eastAsia" w:ascii="Times New Roman" w:hAnsi="Times New Roman" w:eastAsia="微软雅黑" w:cs="Times New Roman"/>
          <w:color w:val="000000"/>
          <w:kern w:val="0"/>
          <w:sz w:val="24"/>
          <w:szCs w:val="24"/>
        </w:rPr>
        <w:t>一</w:t>
      </w:r>
      <w:r>
        <w:rPr>
          <w:rFonts w:ascii="Times New Roman" w:hAnsi="Times New Roman" w:eastAsia="微软雅黑" w:cs="Times New Roman"/>
          <w:color w:val="000000"/>
          <w:kern w:val="0"/>
          <w:sz w:val="24"/>
          <w:szCs w:val="24"/>
        </w:rPr>
        <w:t>、</w:t>
      </w:r>
      <w:r>
        <w:rPr>
          <w:rFonts w:hint="eastAsia" w:ascii="Times New Roman" w:hAnsi="Times New Roman" w:eastAsia="微软雅黑" w:cs="Times New Roman"/>
          <w:color w:val="000000"/>
          <w:kern w:val="0"/>
          <w:sz w:val="24"/>
          <w:szCs w:val="24"/>
        </w:rPr>
        <w:t>健全项目协调机制</w:t>
      </w:r>
      <w:bookmarkEnd w:id="5"/>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成立鹤山市智慧停车项目工作领导小组，负责智慧停车项目开展工作，建立健全各部门的联动机制，由鹤山市城市管理和综合执法局为牵头主管单位，明确分工、协同机制，推动发改、财政、自资、城管、公安交警、政数、国资、属地镇街等部门密切配合形成合力，协助实施单位顺利开展项目，保障其运营稳定。</w:t>
      </w:r>
    </w:p>
    <w:p>
      <w:pPr>
        <w:spacing w:line="360" w:lineRule="auto"/>
        <w:ind w:firstLine="480" w:firstLineChars="200"/>
        <w:outlineLvl w:val="1"/>
        <w:rPr>
          <w:rFonts w:ascii="Times New Roman" w:hAnsi="Times New Roman" w:eastAsia="微软雅黑" w:cs="Times New Roman"/>
          <w:color w:val="000000"/>
          <w:kern w:val="0"/>
          <w:sz w:val="24"/>
          <w:szCs w:val="24"/>
        </w:rPr>
      </w:pPr>
      <w:bookmarkStart w:id="6" w:name="_Toc75531140"/>
      <w:r>
        <w:rPr>
          <w:rFonts w:hint="eastAsia" w:ascii="Times New Roman" w:hAnsi="Times New Roman" w:eastAsia="微软雅黑" w:cs="Times New Roman"/>
          <w:color w:val="000000"/>
          <w:kern w:val="0"/>
          <w:sz w:val="24"/>
          <w:szCs w:val="24"/>
        </w:rPr>
        <w:t>二</w:t>
      </w:r>
      <w:r>
        <w:rPr>
          <w:rFonts w:ascii="Times New Roman" w:hAnsi="Times New Roman" w:eastAsia="微软雅黑" w:cs="Times New Roman"/>
          <w:color w:val="000000"/>
          <w:kern w:val="0"/>
          <w:sz w:val="24"/>
          <w:szCs w:val="24"/>
        </w:rPr>
        <w:t>、</w:t>
      </w:r>
      <w:r>
        <w:rPr>
          <w:rFonts w:hint="eastAsia" w:ascii="Times New Roman" w:hAnsi="Times New Roman" w:eastAsia="微软雅黑" w:cs="Times New Roman"/>
          <w:color w:val="000000"/>
          <w:kern w:val="0"/>
          <w:sz w:val="24"/>
          <w:szCs w:val="24"/>
        </w:rPr>
        <w:t>明确项目实施主体</w:t>
      </w:r>
      <w:bookmarkEnd w:id="6"/>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鹤山市城市管理和综合执法局</w:t>
      </w:r>
      <w:r>
        <w:rPr>
          <w:rFonts w:ascii="Times New Roman" w:hAnsi="Times New Roman" w:eastAsia="宋体" w:cs="Times New Roman"/>
          <w:color w:val="000000"/>
          <w:kern w:val="0"/>
          <w:sz w:val="24"/>
          <w:szCs w:val="24"/>
        </w:rPr>
        <w:t>建局</w:t>
      </w:r>
      <w:r>
        <w:rPr>
          <w:rFonts w:hint="eastAsia" w:ascii="Times New Roman" w:hAnsi="Times New Roman" w:eastAsia="宋体" w:cs="Times New Roman"/>
          <w:color w:val="000000"/>
          <w:kern w:val="0"/>
          <w:sz w:val="24"/>
          <w:szCs w:val="24"/>
        </w:rPr>
        <w:t>为牵头主管单位，实施主体以国资公司</w:t>
      </w:r>
      <w:r>
        <w:rPr>
          <w:rFonts w:ascii="Times New Roman" w:hAnsi="Times New Roman" w:eastAsia="宋体" w:cs="Times New Roman"/>
          <w:color w:val="000000"/>
          <w:kern w:val="0"/>
          <w:sz w:val="24"/>
          <w:szCs w:val="24"/>
        </w:rPr>
        <w:t>鹤山市城乡市政服务有限公司</w:t>
      </w:r>
      <w:r>
        <w:rPr>
          <w:rFonts w:hint="eastAsia" w:ascii="Times New Roman" w:hAnsi="Times New Roman" w:eastAsia="宋体" w:cs="Times New Roman"/>
          <w:color w:val="000000"/>
          <w:kern w:val="0"/>
          <w:sz w:val="24"/>
          <w:szCs w:val="24"/>
        </w:rPr>
        <w:t>为实施主体，负责项目具体实施工作，在授权范围内负责项目具体特许经营项目实施方案的编制、招标文件审核、运营公司的选择及合同的签订等。</w:t>
      </w:r>
    </w:p>
    <w:p>
      <w:pPr>
        <w:spacing w:line="360" w:lineRule="auto"/>
        <w:ind w:firstLine="480" w:firstLineChars="200"/>
        <w:outlineLvl w:val="1"/>
        <w:rPr>
          <w:rFonts w:ascii="Times New Roman" w:hAnsi="Times New Roman" w:eastAsia="微软雅黑" w:cs="Times New Roman"/>
          <w:color w:val="000000"/>
          <w:kern w:val="0"/>
          <w:sz w:val="24"/>
          <w:szCs w:val="24"/>
        </w:rPr>
      </w:pPr>
      <w:bookmarkStart w:id="7" w:name="_Toc75531141"/>
      <w:r>
        <w:rPr>
          <w:rFonts w:hint="eastAsia" w:ascii="Times New Roman" w:hAnsi="Times New Roman" w:eastAsia="微软雅黑" w:cs="Times New Roman"/>
          <w:color w:val="000000"/>
          <w:kern w:val="0"/>
          <w:sz w:val="24"/>
          <w:szCs w:val="24"/>
        </w:rPr>
        <w:t>三</w:t>
      </w:r>
      <w:r>
        <w:rPr>
          <w:rFonts w:ascii="Times New Roman" w:hAnsi="Times New Roman" w:eastAsia="微软雅黑" w:cs="Times New Roman"/>
          <w:color w:val="000000"/>
          <w:kern w:val="0"/>
          <w:sz w:val="24"/>
          <w:szCs w:val="24"/>
        </w:rPr>
        <w:t>、项目</w:t>
      </w:r>
      <w:r>
        <w:rPr>
          <w:rFonts w:hint="eastAsia" w:ascii="Times New Roman" w:hAnsi="Times New Roman" w:eastAsia="微软雅黑" w:cs="Times New Roman"/>
          <w:color w:val="000000"/>
          <w:kern w:val="0"/>
          <w:sz w:val="24"/>
          <w:szCs w:val="24"/>
        </w:rPr>
        <w:t>分工情况</w:t>
      </w:r>
      <w:bookmarkEnd w:id="7"/>
    </w:p>
    <w:p>
      <w:pPr>
        <w:spacing w:line="360" w:lineRule="auto"/>
        <w:ind w:firstLine="64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为确保各项目建设工作的顺利推进，工作领导小组应形成项目保障和监督架构，对项目的履约监管、行政监管和公共监管做进一步的细化工作，具体分工：</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0"/>
        <w:gridCol w:w="6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0" w:type="dxa"/>
            <w:vAlign w:val="center"/>
          </w:tcPr>
          <w:p>
            <w:pPr>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职能部门</w:t>
            </w:r>
          </w:p>
        </w:tc>
        <w:tc>
          <w:tcPr>
            <w:tcW w:w="6990" w:type="dxa"/>
            <w:vAlign w:val="center"/>
          </w:tcPr>
          <w:p>
            <w:pPr>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主要工作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0" w:type="dxa"/>
            <w:vAlign w:val="center"/>
          </w:tcPr>
          <w:p>
            <w:pPr>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市城管局</w:t>
            </w:r>
          </w:p>
        </w:tc>
        <w:tc>
          <w:tcPr>
            <w:tcW w:w="6990" w:type="dxa"/>
            <w:vAlign w:val="center"/>
          </w:tcPr>
          <w:p>
            <w:pPr>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负责组织编制智慧停车实施方案，监督管理智慧停车日常运营等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0" w:type="dxa"/>
            <w:vAlign w:val="center"/>
          </w:tcPr>
          <w:p>
            <w:pPr>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市资产办</w:t>
            </w:r>
          </w:p>
        </w:tc>
        <w:tc>
          <w:tcPr>
            <w:tcW w:w="6990" w:type="dxa"/>
            <w:vAlign w:val="center"/>
          </w:tcPr>
          <w:p>
            <w:pPr>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负责智慧停车资产的监督管理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0" w:type="dxa"/>
            <w:vAlign w:val="center"/>
          </w:tcPr>
          <w:p>
            <w:pPr>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市交警大队</w:t>
            </w:r>
          </w:p>
        </w:tc>
        <w:tc>
          <w:tcPr>
            <w:tcW w:w="6990" w:type="dxa"/>
            <w:vAlign w:val="center"/>
          </w:tcPr>
          <w:p>
            <w:pPr>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配合做好车辆违停等违法行为以及交通秩序的综合管理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0" w:type="dxa"/>
            <w:vAlign w:val="center"/>
          </w:tcPr>
          <w:p>
            <w:pPr>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市发改局</w:t>
            </w:r>
          </w:p>
        </w:tc>
        <w:tc>
          <w:tcPr>
            <w:tcW w:w="6990" w:type="dxa"/>
            <w:vAlign w:val="center"/>
          </w:tcPr>
          <w:p>
            <w:pPr>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负责审批停车收费标准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0" w:type="dxa"/>
            <w:vAlign w:val="center"/>
          </w:tcPr>
          <w:p>
            <w:pPr>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市自资局</w:t>
            </w:r>
          </w:p>
        </w:tc>
        <w:tc>
          <w:tcPr>
            <w:tcW w:w="6990" w:type="dxa"/>
            <w:vAlign w:val="center"/>
          </w:tcPr>
          <w:p>
            <w:pPr>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指导督促有关停场规划实施和管理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0" w:type="dxa"/>
            <w:vAlign w:val="center"/>
          </w:tcPr>
          <w:p>
            <w:pPr>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市住建局</w:t>
            </w:r>
          </w:p>
        </w:tc>
        <w:tc>
          <w:tcPr>
            <w:tcW w:w="6990" w:type="dxa"/>
            <w:vAlign w:val="center"/>
          </w:tcPr>
          <w:p>
            <w:pPr>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统计住宅小区停车位数量，为共享停车提供依据，指导物业服务企业开展物业小区停车管理等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0" w:type="dxa"/>
            <w:vAlign w:val="center"/>
          </w:tcPr>
          <w:p>
            <w:pPr>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市政数局</w:t>
            </w:r>
          </w:p>
        </w:tc>
        <w:tc>
          <w:tcPr>
            <w:tcW w:w="6990" w:type="dxa"/>
            <w:vAlign w:val="center"/>
          </w:tcPr>
          <w:p>
            <w:pPr>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负责智慧停车系统与智慧城市对接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0" w:type="dxa"/>
          </w:tcPr>
          <w:p>
            <w:pPr>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市路灯公司</w:t>
            </w:r>
          </w:p>
        </w:tc>
        <w:tc>
          <w:tcPr>
            <w:tcW w:w="6990" w:type="dxa"/>
          </w:tcPr>
          <w:p>
            <w:pPr>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配合协调路灯挂杆设备提供位置和取电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0" w:type="dxa"/>
          </w:tcPr>
          <w:p>
            <w:pPr>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市融媒体</w:t>
            </w:r>
          </w:p>
        </w:tc>
        <w:tc>
          <w:tcPr>
            <w:tcW w:w="6990" w:type="dxa"/>
          </w:tcPr>
          <w:p>
            <w:pPr>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负责舆论导向及宣传</w:t>
            </w:r>
          </w:p>
        </w:tc>
      </w:tr>
    </w:tbl>
    <w:p>
      <w:pPr>
        <w:spacing w:line="360" w:lineRule="auto"/>
        <w:ind w:firstLine="480" w:firstLineChars="200"/>
        <w:outlineLvl w:val="1"/>
        <w:rPr>
          <w:rFonts w:ascii="Times New Roman" w:hAnsi="Times New Roman" w:eastAsia="微软雅黑" w:cs="Times New Roman"/>
          <w:color w:val="000000"/>
          <w:kern w:val="0"/>
          <w:sz w:val="24"/>
          <w:szCs w:val="24"/>
        </w:rPr>
      </w:pPr>
      <w:bookmarkStart w:id="8" w:name="_Toc75531142"/>
      <w:r>
        <w:rPr>
          <w:rFonts w:hint="eastAsia" w:ascii="Times New Roman" w:hAnsi="Times New Roman" w:eastAsia="微软雅黑" w:cs="Times New Roman"/>
          <w:color w:val="000000"/>
          <w:kern w:val="0"/>
          <w:sz w:val="24"/>
          <w:szCs w:val="24"/>
        </w:rPr>
        <w:t>四、建立项目监督架构</w:t>
      </w:r>
      <w:bookmarkEnd w:id="8"/>
    </w:p>
    <w:p>
      <w:pPr>
        <w:spacing w:line="360" w:lineRule="auto"/>
        <w:ind w:firstLine="64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为确保各项目建设工作的顺利推进，工作领导小组应形成项目保障和监督架构，对项目的履约监管、行政监管和公共监管做进一步的细化工作。</w:t>
      </w:r>
    </w:p>
    <w:p>
      <w:pPr>
        <w:spacing w:line="360" w:lineRule="auto"/>
        <w:ind w:firstLine="480" w:firstLineChars="200"/>
        <w:outlineLvl w:val="1"/>
        <w:rPr>
          <w:rFonts w:ascii="Times New Roman" w:hAnsi="Times New Roman" w:eastAsia="微软雅黑" w:cs="Times New Roman"/>
          <w:color w:val="000000"/>
          <w:kern w:val="0"/>
          <w:sz w:val="24"/>
          <w:szCs w:val="24"/>
        </w:rPr>
      </w:pPr>
      <w:bookmarkStart w:id="9" w:name="_Toc75531143"/>
      <w:r>
        <w:rPr>
          <w:rFonts w:hint="eastAsia" w:ascii="Times New Roman" w:hAnsi="Times New Roman" w:eastAsia="微软雅黑" w:cs="Times New Roman"/>
          <w:color w:val="000000"/>
          <w:kern w:val="0"/>
          <w:sz w:val="24"/>
          <w:szCs w:val="24"/>
        </w:rPr>
        <w:t>五</w:t>
      </w:r>
      <w:r>
        <w:rPr>
          <w:rFonts w:ascii="Times New Roman" w:hAnsi="Times New Roman" w:eastAsia="微软雅黑" w:cs="Times New Roman"/>
          <w:color w:val="000000"/>
          <w:kern w:val="0"/>
          <w:sz w:val="24"/>
          <w:szCs w:val="24"/>
        </w:rPr>
        <w:t>、项目</w:t>
      </w:r>
      <w:r>
        <w:rPr>
          <w:rFonts w:hint="eastAsia" w:ascii="Times New Roman" w:hAnsi="Times New Roman" w:eastAsia="微软雅黑" w:cs="Times New Roman"/>
          <w:color w:val="000000"/>
          <w:kern w:val="0"/>
          <w:sz w:val="24"/>
          <w:szCs w:val="24"/>
        </w:rPr>
        <w:t>的遴选模式</w:t>
      </w:r>
      <w:bookmarkEnd w:id="9"/>
    </w:p>
    <w:p>
      <w:pPr>
        <w:spacing w:line="360" w:lineRule="auto"/>
        <w:ind w:firstLine="64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根据《招投标法》、《政府采购法》、《基础设施和公用事业特许经营管理办法》等法律法规相关规定，建议采取BOT模式，通过采用公开招投标的方式遴选合适的智慧停车项目供应运营商，并要求在本项目辖区内注册独立法人资格的控股项目运营公司，招募条件中明确要求项目公司在当地纳税，所有税收均存留在属地镇街。</w:t>
      </w:r>
    </w:p>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br w:type="page"/>
      </w:r>
    </w:p>
    <w:p/>
    <w:p>
      <w:pPr>
        <w:spacing w:line="360" w:lineRule="auto"/>
        <w:jc w:val="center"/>
        <w:outlineLvl w:val="0"/>
        <w:rPr>
          <w:rFonts w:ascii="Times New Roman" w:hAnsi="Times New Roman" w:eastAsia="微软雅黑" w:cs="Times New Roman"/>
          <w:b/>
          <w:color w:val="000000"/>
          <w:kern w:val="0"/>
          <w:sz w:val="32"/>
          <w:szCs w:val="24"/>
        </w:rPr>
      </w:pPr>
      <w:bookmarkStart w:id="10" w:name="_Toc75531144"/>
      <w:r>
        <w:rPr>
          <w:rFonts w:ascii="Times New Roman" w:hAnsi="Times New Roman" w:eastAsia="微软雅黑" w:cs="Times New Roman"/>
          <w:b/>
          <w:color w:val="000000"/>
          <w:kern w:val="0"/>
          <w:sz w:val="32"/>
          <w:szCs w:val="24"/>
        </w:rPr>
        <w:t>第三章 项目实施</w:t>
      </w:r>
      <w:r>
        <w:rPr>
          <w:rFonts w:hint="eastAsia" w:ascii="Times New Roman" w:hAnsi="Times New Roman" w:eastAsia="微软雅黑" w:cs="Times New Roman"/>
          <w:b/>
          <w:color w:val="000000"/>
          <w:kern w:val="0"/>
          <w:sz w:val="32"/>
          <w:szCs w:val="24"/>
        </w:rPr>
        <w:t>规模和标准</w:t>
      </w:r>
      <w:bookmarkEnd w:id="10"/>
    </w:p>
    <w:p>
      <w:pPr>
        <w:spacing w:line="360" w:lineRule="auto"/>
        <w:ind w:firstLine="480" w:firstLineChars="200"/>
        <w:outlineLvl w:val="1"/>
        <w:rPr>
          <w:rFonts w:ascii="Times New Roman" w:hAnsi="Times New Roman" w:eastAsia="微软雅黑" w:cs="Times New Roman"/>
          <w:color w:val="000000"/>
          <w:kern w:val="0"/>
          <w:sz w:val="24"/>
          <w:szCs w:val="24"/>
        </w:rPr>
      </w:pPr>
      <w:bookmarkStart w:id="11" w:name="_Toc75531145"/>
      <w:r>
        <w:rPr>
          <w:rFonts w:hint="eastAsia" w:ascii="Times New Roman" w:hAnsi="Times New Roman" w:eastAsia="微软雅黑" w:cs="Times New Roman"/>
          <w:color w:val="000000"/>
          <w:kern w:val="0"/>
          <w:sz w:val="24"/>
          <w:szCs w:val="24"/>
        </w:rPr>
        <w:t>一</w:t>
      </w:r>
      <w:r>
        <w:rPr>
          <w:rFonts w:ascii="Times New Roman" w:hAnsi="Times New Roman" w:eastAsia="微软雅黑" w:cs="Times New Roman"/>
          <w:color w:val="000000"/>
          <w:kern w:val="0"/>
          <w:sz w:val="24"/>
          <w:szCs w:val="24"/>
        </w:rPr>
        <w:t>、</w:t>
      </w:r>
      <w:r>
        <w:rPr>
          <w:rFonts w:hint="eastAsia" w:ascii="Times New Roman" w:hAnsi="Times New Roman" w:eastAsia="微软雅黑" w:cs="Times New Roman"/>
          <w:color w:val="000000"/>
          <w:kern w:val="0"/>
          <w:sz w:val="24"/>
          <w:szCs w:val="24"/>
        </w:rPr>
        <w:t>项目建设和投资规模</w:t>
      </w:r>
      <w:bookmarkEnd w:id="11"/>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计划将城区所有公共停车服务统一纳入鹤山市智慧停车项目实施特许经营，根据项目开展情况分期实施。目前智慧停车项目较为成熟的为智慧路内泊位，其中本项目城区道路智慧路内泊位</w:t>
      </w:r>
      <w:r>
        <w:rPr>
          <w:rFonts w:ascii="Times New Roman" w:hAnsi="Times New Roman" w:eastAsia="宋体" w:cs="Times New Roman"/>
          <w:color w:val="000000"/>
          <w:kern w:val="0"/>
          <w:sz w:val="24"/>
          <w:szCs w:val="24"/>
        </w:rPr>
        <w:t>64</w:t>
      </w:r>
      <w:r>
        <w:rPr>
          <w:rFonts w:hint="eastAsia" w:ascii="Times New Roman" w:hAnsi="Times New Roman" w:eastAsia="宋体" w:cs="Times New Roman"/>
          <w:color w:val="000000"/>
          <w:kern w:val="0"/>
          <w:sz w:val="24"/>
          <w:szCs w:val="24"/>
        </w:rPr>
        <w:t>50个，预计项目整体总投资为4</w:t>
      </w:r>
      <w:r>
        <w:rPr>
          <w:rFonts w:ascii="Times New Roman" w:hAnsi="Times New Roman" w:eastAsia="宋体" w:cs="Times New Roman"/>
          <w:color w:val="000000"/>
          <w:kern w:val="0"/>
          <w:sz w:val="24"/>
          <w:szCs w:val="24"/>
        </w:rPr>
        <w:t>600.95</w:t>
      </w:r>
      <w:r>
        <w:rPr>
          <w:rFonts w:hint="eastAsia" w:ascii="Times New Roman" w:hAnsi="Times New Roman" w:eastAsia="宋体" w:cs="Times New Roman"/>
          <w:color w:val="000000"/>
          <w:kern w:val="0"/>
          <w:sz w:val="24"/>
          <w:szCs w:val="24"/>
        </w:rPr>
        <w:t>万元，1</w:t>
      </w:r>
      <w:r>
        <w:rPr>
          <w:rFonts w:ascii="Times New Roman" w:hAnsi="Times New Roman" w:eastAsia="宋体" w:cs="Times New Roman"/>
          <w:color w:val="000000"/>
          <w:kern w:val="0"/>
          <w:sz w:val="24"/>
          <w:szCs w:val="24"/>
        </w:rPr>
        <w:t>2</w:t>
      </w:r>
      <w:r>
        <w:rPr>
          <w:rFonts w:hint="eastAsia" w:ascii="Times New Roman" w:hAnsi="Times New Roman" w:eastAsia="宋体" w:cs="Times New Roman"/>
          <w:color w:val="000000"/>
          <w:kern w:val="0"/>
          <w:sz w:val="24"/>
          <w:szCs w:val="24"/>
        </w:rPr>
        <w:t>年经营期累计投资为6</w:t>
      </w:r>
      <w:r>
        <w:rPr>
          <w:rFonts w:ascii="Times New Roman" w:hAnsi="Times New Roman" w:eastAsia="宋体" w:cs="Times New Roman"/>
          <w:color w:val="000000"/>
          <w:kern w:val="0"/>
          <w:sz w:val="24"/>
          <w:szCs w:val="24"/>
        </w:rPr>
        <w:t>301</w:t>
      </w:r>
      <w:r>
        <w:rPr>
          <w:rFonts w:hint="eastAsia" w:ascii="Times New Roman" w:hAnsi="Times New Roman" w:eastAsia="宋体" w:cs="Times New Roman"/>
          <w:color w:val="000000"/>
          <w:kern w:val="0"/>
          <w:sz w:val="24"/>
          <w:szCs w:val="24"/>
        </w:rPr>
        <w:t>.</w:t>
      </w:r>
      <w:r>
        <w:rPr>
          <w:rFonts w:ascii="Times New Roman" w:hAnsi="Times New Roman" w:eastAsia="宋体" w:cs="Times New Roman"/>
          <w:color w:val="000000"/>
          <w:kern w:val="0"/>
          <w:sz w:val="24"/>
          <w:szCs w:val="24"/>
        </w:rPr>
        <w:t>35</w:t>
      </w:r>
      <w:r>
        <w:rPr>
          <w:rFonts w:hint="eastAsia" w:ascii="Times New Roman" w:hAnsi="Times New Roman" w:eastAsia="宋体" w:cs="Times New Roman"/>
          <w:color w:val="000000"/>
          <w:kern w:val="0"/>
          <w:sz w:val="24"/>
          <w:szCs w:val="24"/>
        </w:rPr>
        <w:t>万元，项目全部资金由中标供应运营商自筹。</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第一期计划共建设2</w:t>
      </w:r>
      <w:r>
        <w:rPr>
          <w:rFonts w:ascii="Times New Roman" w:hAnsi="Times New Roman" w:eastAsia="宋体" w:cs="Times New Roman"/>
          <w:color w:val="000000"/>
          <w:kern w:val="0"/>
          <w:sz w:val="24"/>
          <w:szCs w:val="24"/>
        </w:rPr>
        <w:t>481</w:t>
      </w:r>
      <w:r>
        <w:rPr>
          <w:rFonts w:hint="eastAsia" w:ascii="Times New Roman" w:hAnsi="Times New Roman" w:eastAsia="宋体" w:cs="Times New Roman"/>
          <w:color w:val="000000"/>
          <w:kern w:val="0"/>
          <w:sz w:val="24"/>
          <w:szCs w:val="24"/>
        </w:rPr>
        <w:t>个路内泊位，投入约2</w:t>
      </w:r>
      <w:r>
        <w:rPr>
          <w:rFonts w:ascii="Times New Roman" w:hAnsi="Times New Roman" w:eastAsia="宋体" w:cs="Times New Roman"/>
          <w:color w:val="000000"/>
          <w:kern w:val="0"/>
          <w:sz w:val="24"/>
          <w:szCs w:val="24"/>
        </w:rPr>
        <w:t>388</w:t>
      </w:r>
      <w:r>
        <w:rPr>
          <w:rFonts w:hint="eastAsia" w:ascii="Times New Roman" w:hAnsi="Times New Roman" w:eastAsia="宋体" w:cs="Times New Roman"/>
          <w:color w:val="000000"/>
          <w:kern w:val="0"/>
          <w:sz w:val="24"/>
          <w:szCs w:val="24"/>
        </w:rPr>
        <w:t>万元，建设明细包括：城市级智慧停车平台为8</w:t>
      </w:r>
      <w:r>
        <w:rPr>
          <w:rFonts w:ascii="Times New Roman" w:hAnsi="Times New Roman" w:eastAsia="宋体" w:cs="Times New Roman"/>
          <w:color w:val="000000"/>
          <w:kern w:val="0"/>
          <w:sz w:val="24"/>
          <w:szCs w:val="24"/>
        </w:rPr>
        <w:t>80</w:t>
      </w:r>
      <w:r>
        <w:rPr>
          <w:rFonts w:hint="eastAsia" w:ascii="Times New Roman" w:hAnsi="Times New Roman" w:eastAsia="宋体" w:cs="Times New Roman"/>
          <w:color w:val="000000"/>
          <w:kern w:val="0"/>
          <w:sz w:val="24"/>
          <w:szCs w:val="24"/>
        </w:rPr>
        <w:t>万元、智慧停车前端设备为</w:t>
      </w:r>
      <w:r>
        <w:rPr>
          <w:rFonts w:ascii="Times New Roman" w:hAnsi="Times New Roman" w:eastAsia="宋体" w:cs="Times New Roman"/>
          <w:color w:val="000000"/>
          <w:kern w:val="0"/>
          <w:sz w:val="24"/>
          <w:szCs w:val="24"/>
        </w:rPr>
        <w:t>711</w:t>
      </w:r>
      <w:r>
        <w:rPr>
          <w:rFonts w:hint="eastAsia" w:ascii="Times New Roman" w:hAnsi="Times New Roman" w:eastAsia="宋体" w:cs="Times New Roman"/>
          <w:color w:val="000000"/>
          <w:kern w:val="0"/>
          <w:sz w:val="24"/>
          <w:szCs w:val="24"/>
        </w:rPr>
        <w:t>万元、城市级停车诱导系统为</w:t>
      </w:r>
      <w:r>
        <w:rPr>
          <w:rFonts w:ascii="Times New Roman" w:hAnsi="Times New Roman" w:eastAsia="宋体" w:cs="Times New Roman"/>
          <w:color w:val="000000"/>
          <w:kern w:val="0"/>
          <w:sz w:val="24"/>
          <w:szCs w:val="24"/>
        </w:rPr>
        <w:t>169</w:t>
      </w:r>
      <w:r>
        <w:rPr>
          <w:rFonts w:hint="eastAsia" w:ascii="Times New Roman" w:hAnsi="Times New Roman" w:eastAsia="宋体" w:cs="Times New Roman"/>
          <w:color w:val="000000"/>
          <w:kern w:val="0"/>
          <w:sz w:val="24"/>
          <w:szCs w:val="24"/>
        </w:rPr>
        <w:t>万元、交通设施（划线、指示牌、告示牌）为</w:t>
      </w:r>
      <w:r>
        <w:rPr>
          <w:rFonts w:ascii="Times New Roman" w:hAnsi="Times New Roman" w:eastAsia="宋体" w:cs="Times New Roman"/>
          <w:color w:val="000000"/>
          <w:kern w:val="0"/>
          <w:sz w:val="24"/>
          <w:szCs w:val="24"/>
        </w:rPr>
        <w:t>93</w:t>
      </w:r>
      <w:r>
        <w:rPr>
          <w:rFonts w:hint="eastAsia" w:ascii="Times New Roman" w:hAnsi="Times New Roman" w:eastAsia="宋体" w:cs="Times New Roman"/>
          <w:color w:val="000000"/>
          <w:kern w:val="0"/>
          <w:sz w:val="24"/>
          <w:szCs w:val="24"/>
        </w:rPr>
        <w:t>万元、运营中心的装修及相关智慧化建设为3</w:t>
      </w:r>
      <w:r>
        <w:rPr>
          <w:rFonts w:ascii="Times New Roman" w:hAnsi="Times New Roman" w:eastAsia="宋体" w:cs="Times New Roman"/>
          <w:color w:val="000000"/>
          <w:kern w:val="0"/>
          <w:sz w:val="24"/>
          <w:szCs w:val="24"/>
        </w:rPr>
        <w:t>00</w:t>
      </w:r>
      <w:r>
        <w:rPr>
          <w:rFonts w:hint="eastAsia" w:ascii="Times New Roman" w:hAnsi="Times New Roman" w:eastAsia="宋体" w:cs="Times New Roman"/>
          <w:color w:val="000000"/>
          <w:kern w:val="0"/>
          <w:sz w:val="24"/>
          <w:szCs w:val="24"/>
        </w:rPr>
        <w:t>万元、其他费用为</w:t>
      </w:r>
      <w:r>
        <w:rPr>
          <w:rFonts w:ascii="Times New Roman" w:hAnsi="Times New Roman" w:eastAsia="宋体" w:cs="Times New Roman"/>
          <w:color w:val="000000"/>
          <w:kern w:val="0"/>
          <w:sz w:val="24"/>
          <w:szCs w:val="24"/>
        </w:rPr>
        <w:t>235</w:t>
      </w:r>
      <w:r>
        <w:rPr>
          <w:rFonts w:hint="eastAsia" w:ascii="Times New Roman" w:hAnsi="Times New Roman" w:eastAsia="宋体" w:cs="Times New Roman"/>
          <w:color w:val="000000"/>
          <w:kern w:val="0"/>
          <w:sz w:val="24"/>
          <w:szCs w:val="24"/>
        </w:rPr>
        <w:t>万元。</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首期实施以市政府为中心的周边辐射区域，横向道路有新环路、新业路、新城路、新鹤路、前进路、人民路、经华路等，纵向道路有富华路、中山路、新华路、裕民路、东升路等，建设智慧路内泊位2481个，具体详见首期改造停车位明细及附图。</w:t>
      </w:r>
    </w:p>
    <w:p>
      <w:pPr>
        <w:spacing w:line="360" w:lineRule="auto"/>
        <w:ind w:firstLine="480" w:firstLineChars="200"/>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第一期改造停车位明细</w:t>
      </w:r>
    </w:p>
    <w:tbl>
      <w:tblPr>
        <w:tblStyle w:val="11"/>
        <w:tblW w:w="8655" w:type="dxa"/>
        <w:tblInd w:w="93" w:type="dxa"/>
        <w:tblLayout w:type="autofit"/>
        <w:tblCellMar>
          <w:top w:w="0" w:type="dxa"/>
          <w:left w:w="108" w:type="dxa"/>
          <w:bottom w:w="0" w:type="dxa"/>
          <w:right w:w="108" w:type="dxa"/>
        </w:tblCellMar>
      </w:tblPr>
      <w:tblGrid>
        <w:gridCol w:w="1005"/>
        <w:gridCol w:w="1433"/>
        <w:gridCol w:w="3701"/>
        <w:gridCol w:w="1511"/>
        <w:gridCol w:w="1005"/>
      </w:tblGrid>
      <w:tr>
        <w:tblPrEx>
          <w:tblCellMar>
            <w:top w:w="0" w:type="dxa"/>
            <w:left w:w="108" w:type="dxa"/>
            <w:bottom w:w="0" w:type="dxa"/>
            <w:right w:w="108" w:type="dxa"/>
          </w:tblCellMar>
        </w:tblPrEx>
        <w:trPr>
          <w:trHeight w:val="455" w:hRule="atLeast"/>
        </w:trPr>
        <w:tc>
          <w:tcPr>
            <w:tcW w:w="1005" w:type="dxa"/>
            <w:tcBorders>
              <w:top w:val="single" w:color="auto" w:sz="4" w:space="0"/>
              <w:left w:val="single" w:color="auto" w:sz="4" w:space="0"/>
              <w:bottom w:val="single" w:color="auto" w:sz="4" w:space="0"/>
              <w:right w:val="single" w:color="auto" w:sz="4" w:space="0"/>
            </w:tcBorders>
            <w:shd w:val="clear" w:color="auto" w:fill="auto"/>
            <w:noWrap/>
            <w:vAlign w:val="center"/>
          </w:tcPr>
          <w:p>
            <w:r>
              <w:rPr>
                <w:rFonts w:hint="eastAsia"/>
              </w:rPr>
              <w:t>序号</w:t>
            </w:r>
          </w:p>
        </w:tc>
        <w:tc>
          <w:tcPr>
            <w:tcW w:w="1433" w:type="dxa"/>
            <w:tcBorders>
              <w:top w:val="single" w:color="auto" w:sz="4" w:space="0"/>
              <w:left w:val="nil"/>
              <w:bottom w:val="single" w:color="auto" w:sz="4" w:space="0"/>
              <w:right w:val="single" w:color="auto" w:sz="4" w:space="0"/>
            </w:tcBorders>
            <w:shd w:val="clear" w:color="auto" w:fill="auto"/>
            <w:noWrap/>
            <w:vAlign w:val="center"/>
          </w:tcPr>
          <w:p>
            <w:r>
              <w:rPr>
                <w:rFonts w:hint="eastAsia"/>
              </w:rPr>
              <w:t>名称</w:t>
            </w:r>
          </w:p>
        </w:tc>
        <w:tc>
          <w:tcPr>
            <w:tcW w:w="3701" w:type="dxa"/>
            <w:tcBorders>
              <w:top w:val="single" w:color="auto" w:sz="4" w:space="0"/>
              <w:left w:val="nil"/>
              <w:bottom w:val="single" w:color="auto" w:sz="4" w:space="0"/>
              <w:right w:val="single" w:color="auto" w:sz="4" w:space="0"/>
            </w:tcBorders>
            <w:shd w:val="clear" w:color="auto" w:fill="auto"/>
            <w:noWrap/>
            <w:vAlign w:val="center"/>
          </w:tcPr>
          <w:p>
            <w:r>
              <w:rPr>
                <w:rFonts w:hint="eastAsia"/>
              </w:rPr>
              <w:t>起止点</w:t>
            </w:r>
          </w:p>
        </w:tc>
        <w:tc>
          <w:tcPr>
            <w:tcW w:w="1511" w:type="dxa"/>
            <w:tcBorders>
              <w:top w:val="single" w:color="auto" w:sz="4" w:space="0"/>
              <w:left w:val="nil"/>
              <w:bottom w:val="single" w:color="auto" w:sz="4" w:space="0"/>
              <w:right w:val="single" w:color="auto" w:sz="4" w:space="0"/>
            </w:tcBorders>
            <w:shd w:val="clear" w:color="auto" w:fill="auto"/>
            <w:vAlign w:val="center"/>
          </w:tcPr>
          <w:p>
            <w:r>
              <w:rPr>
                <w:rFonts w:hint="eastAsia"/>
              </w:rPr>
              <w:t>长度（米）</w:t>
            </w:r>
          </w:p>
        </w:tc>
        <w:tc>
          <w:tcPr>
            <w:tcW w:w="1005" w:type="dxa"/>
            <w:tcBorders>
              <w:top w:val="single" w:color="auto" w:sz="4" w:space="0"/>
              <w:left w:val="nil"/>
              <w:bottom w:val="single" w:color="auto" w:sz="4" w:space="0"/>
              <w:right w:val="single" w:color="auto" w:sz="4" w:space="0"/>
            </w:tcBorders>
            <w:shd w:val="clear" w:color="auto" w:fill="auto"/>
            <w:noWrap/>
            <w:vAlign w:val="center"/>
          </w:tcPr>
          <w:p>
            <w:r>
              <w:rPr>
                <w:rFonts w:hint="eastAsia"/>
              </w:rPr>
              <w:t>泊位数</w:t>
            </w:r>
          </w:p>
        </w:tc>
      </w:tr>
      <w:tr>
        <w:tblPrEx>
          <w:tblCellMar>
            <w:top w:w="0" w:type="dxa"/>
            <w:left w:w="108" w:type="dxa"/>
            <w:bottom w:w="0" w:type="dxa"/>
            <w:right w:w="108" w:type="dxa"/>
          </w:tblCellMar>
        </w:tblPrEx>
        <w:trPr>
          <w:trHeight w:val="455" w:hRule="atLeast"/>
        </w:trPr>
        <w:tc>
          <w:tcPr>
            <w:tcW w:w="1005" w:type="dxa"/>
            <w:tcBorders>
              <w:top w:val="nil"/>
              <w:left w:val="single" w:color="auto" w:sz="4" w:space="0"/>
              <w:bottom w:val="single" w:color="auto" w:sz="4" w:space="0"/>
              <w:right w:val="single" w:color="auto" w:sz="4" w:space="0"/>
            </w:tcBorders>
            <w:shd w:val="clear" w:color="auto" w:fill="auto"/>
            <w:noWrap/>
            <w:vAlign w:val="center"/>
          </w:tcPr>
          <w:p>
            <w:r>
              <w:rPr>
                <w:rFonts w:hint="eastAsia"/>
              </w:rPr>
              <w:t>1</w:t>
            </w:r>
          </w:p>
        </w:tc>
        <w:tc>
          <w:tcPr>
            <w:tcW w:w="1433" w:type="dxa"/>
            <w:tcBorders>
              <w:top w:val="nil"/>
              <w:left w:val="nil"/>
              <w:bottom w:val="single" w:color="auto" w:sz="4" w:space="0"/>
              <w:right w:val="single" w:color="auto" w:sz="4" w:space="0"/>
            </w:tcBorders>
            <w:shd w:val="clear" w:color="auto" w:fill="auto"/>
            <w:noWrap/>
            <w:vAlign w:val="center"/>
          </w:tcPr>
          <w:p>
            <w:r>
              <w:rPr>
                <w:rFonts w:hint="eastAsia"/>
              </w:rPr>
              <w:t>新环路</w:t>
            </w:r>
          </w:p>
        </w:tc>
        <w:tc>
          <w:tcPr>
            <w:tcW w:w="3701" w:type="dxa"/>
            <w:tcBorders>
              <w:top w:val="nil"/>
              <w:left w:val="nil"/>
              <w:bottom w:val="single" w:color="auto" w:sz="4" w:space="0"/>
              <w:right w:val="single" w:color="auto" w:sz="4" w:space="0"/>
            </w:tcBorders>
            <w:shd w:val="clear" w:color="auto" w:fill="auto"/>
            <w:noWrap/>
            <w:vAlign w:val="center"/>
          </w:tcPr>
          <w:p>
            <w:r>
              <w:rPr>
                <w:rFonts w:hint="eastAsia"/>
              </w:rPr>
              <w:t>新环桥-东升路</w:t>
            </w:r>
          </w:p>
        </w:tc>
        <w:tc>
          <w:tcPr>
            <w:tcW w:w="1511" w:type="dxa"/>
            <w:tcBorders>
              <w:top w:val="nil"/>
              <w:left w:val="nil"/>
              <w:bottom w:val="single" w:color="auto" w:sz="4" w:space="0"/>
              <w:right w:val="single" w:color="auto" w:sz="4" w:space="0"/>
            </w:tcBorders>
            <w:shd w:val="clear" w:color="auto" w:fill="auto"/>
            <w:noWrap/>
            <w:vAlign w:val="center"/>
          </w:tcPr>
          <w:p>
            <w:r>
              <w:rPr>
                <w:rFonts w:hint="eastAsia"/>
              </w:rPr>
              <w:t>975</w:t>
            </w:r>
          </w:p>
        </w:tc>
        <w:tc>
          <w:tcPr>
            <w:tcW w:w="1005" w:type="dxa"/>
            <w:tcBorders>
              <w:top w:val="nil"/>
              <w:left w:val="nil"/>
              <w:bottom w:val="single" w:color="auto" w:sz="4" w:space="0"/>
              <w:right w:val="single" w:color="auto" w:sz="4" w:space="0"/>
            </w:tcBorders>
            <w:shd w:val="clear" w:color="auto" w:fill="auto"/>
            <w:noWrap/>
            <w:vAlign w:val="center"/>
          </w:tcPr>
          <w:p>
            <w:r>
              <w:rPr>
                <w:rFonts w:hint="eastAsia"/>
              </w:rPr>
              <w:t>241</w:t>
            </w:r>
          </w:p>
        </w:tc>
      </w:tr>
      <w:tr>
        <w:tblPrEx>
          <w:tblCellMar>
            <w:top w:w="0" w:type="dxa"/>
            <w:left w:w="108" w:type="dxa"/>
            <w:bottom w:w="0" w:type="dxa"/>
            <w:right w:w="108" w:type="dxa"/>
          </w:tblCellMar>
        </w:tblPrEx>
        <w:trPr>
          <w:trHeight w:val="455" w:hRule="atLeast"/>
        </w:trPr>
        <w:tc>
          <w:tcPr>
            <w:tcW w:w="1005" w:type="dxa"/>
            <w:tcBorders>
              <w:top w:val="nil"/>
              <w:left w:val="single" w:color="auto" w:sz="4" w:space="0"/>
              <w:bottom w:val="single" w:color="auto" w:sz="4" w:space="0"/>
              <w:right w:val="single" w:color="auto" w:sz="4" w:space="0"/>
            </w:tcBorders>
            <w:shd w:val="clear" w:color="auto" w:fill="auto"/>
            <w:noWrap/>
            <w:vAlign w:val="center"/>
          </w:tcPr>
          <w:p>
            <w:r>
              <w:rPr>
                <w:rFonts w:hint="eastAsia"/>
              </w:rPr>
              <w:t>2</w:t>
            </w:r>
          </w:p>
        </w:tc>
        <w:tc>
          <w:tcPr>
            <w:tcW w:w="1433" w:type="dxa"/>
            <w:tcBorders>
              <w:top w:val="nil"/>
              <w:left w:val="nil"/>
              <w:bottom w:val="single" w:color="auto" w:sz="4" w:space="0"/>
              <w:right w:val="single" w:color="auto" w:sz="4" w:space="0"/>
            </w:tcBorders>
            <w:shd w:val="clear" w:color="auto" w:fill="auto"/>
            <w:noWrap/>
            <w:vAlign w:val="center"/>
          </w:tcPr>
          <w:p>
            <w:r>
              <w:rPr>
                <w:rFonts w:hint="eastAsia"/>
              </w:rPr>
              <w:t>新城路</w:t>
            </w:r>
          </w:p>
        </w:tc>
        <w:tc>
          <w:tcPr>
            <w:tcW w:w="3701" w:type="dxa"/>
            <w:tcBorders>
              <w:top w:val="nil"/>
              <w:left w:val="nil"/>
              <w:bottom w:val="single" w:color="auto" w:sz="4" w:space="0"/>
              <w:right w:val="single" w:color="auto" w:sz="4" w:space="0"/>
            </w:tcBorders>
            <w:shd w:val="clear" w:color="auto" w:fill="auto"/>
            <w:noWrap/>
            <w:vAlign w:val="center"/>
          </w:tcPr>
          <w:p>
            <w:r>
              <w:rPr>
                <w:rFonts w:hint="eastAsia"/>
              </w:rPr>
              <w:t>连南桥-人民路</w:t>
            </w:r>
          </w:p>
        </w:tc>
        <w:tc>
          <w:tcPr>
            <w:tcW w:w="1511" w:type="dxa"/>
            <w:tcBorders>
              <w:top w:val="nil"/>
              <w:left w:val="nil"/>
              <w:bottom w:val="single" w:color="auto" w:sz="4" w:space="0"/>
              <w:right w:val="single" w:color="auto" w:sz="4" w:space="0"/>
            </w:tcBorders>
            <w:shd w:val="clear" w:color="auto" w:fill="auto"/>
            <w:noWrap/>
            <w:vAlign w:val="center"/>
          </w:tcPr>
          <w:p>
            <w:r>
              <w:rPr>
                <w:rFonts w:hint="eastAsia"/>
              </w:rPr>
              <w:t>1825</w:t>
            </w:r>
          </w:p>
        </w:tc>
        <w:tc>
          <w:tcPr>
            <w:tcW w:w="1005" w:type="dxa"/>
            <w:tcBorders>
              <w:top w:val="nil"/>
              <w:left w:val="nil"/>
              <w:bottom w:val="single" w:color="auto" w:sz="4" w:space="0"/>
              <w:right w:val="single" w:color="auto" w:sz="4" w:space="0"/>
            </w:tcBorders>
            <w:shd w:val="clear" w:color="auto" w:fill="auto"/>
            <w:noWrap/>
            <w:vAlign w:val="center"/>
          </w:tcPr>
          <w:p>
            <w:r>
              <w:rPr>
                <w:rFonts w:hint="eastAsia"/>
              </w:rPr>
              <w:t>206</w:t>
            </w:r>
          </w:p>
        </w:tc>
      </w:tr>
      <w:tr>
        <w:tblPrEx>
          <w:tblCellMar>
            <w:top w:w="0" w:type="dxa"/>
            <w:left w:w="108" w:type="dxa"/>
            <w:bottom w:w="0" w:type="dxa"/>
            <w:right w:w="108" w:type="dxa"/>
          </w:tblCellMar>
        </w:tblPrEx>
        <w:trPr>
          <w:trHeight w:val="455" w:hRule="atLeast"/>
        </w:trPr>
        <w:tc>
          <w:tcPr>
            <w:tcW w:w="1005" w:type="dxa"/>
            <w:tcBorders>
              <w:top w:val="nil"/>
              <w:left w:val="single" w:color="auto" w:sz="4" w:space="0"/>
              <w:bottom w:val="single" w:color="auto" w:sz="4" w:space="0"/>
              <w:right w:val="single" w:color="auto" w:sz="4" w:space="0"/>
            </w:tcBorders>
            <w:shd w:val="clear" w:color="auto" w:fill="auto"/>
            <w:noWrap/>
            <w:vAlign w:val="center"/>
          </w:tcPr>
          <w:p>
            <w:r>
              <w:rPr>
                <w:rFonts w:hint="eastAsia"/>
              </w:rPr>
              <w:t>3</w:t>
            </w:r>
          </w:p>
        </w:tc>
        <w:tc>
          <w:tcPr>
            <w:tcW w:w="1433" w:type="dxa"/>
            <w:tcBorders>
              <w:top w:val="nil"/>
              <w:left w:val="nil"/>
              <w:bottom w:val="single" w:color="auto" w:sz="4" w:space="0"/>
              <w:right w:val="single" w:color="auto" w:sz="4" w:space="0"/>
            </w:tcBorders>
            <w:shd w:val="clear" w:color="auto" w:fill="auto"/>
            <w:noWrap/>
            <w:vAlign w:val="center"/>
          </w:tcPr>
          <w:p>
            <w:r>
              <w:rPr>
                <w:rFonts w:hint="eastAsia"/>
              </w:rPr>
              <w:t>新业路</w:t>
            </w:r>
          </w:p>
        </w:tc>
        <w:tc>
          <w:tcPr>
            <w:tcW w:w="3701" w:type="dxa"/>
            <w:tcBorders>
              <w:top w:val="nil"/>
              <w:left w:val="nil"/>
              <w:bottom w:val="single" w:color="auto" w:sz="4" w:space="0"/>
              <w:right w:val="single" w:color="auto" w:sz="4" w:space="0"/>
            </w:tcBorders>
            <w:shd w:val="clear" w:color="auto" w:fill="auto"/>
            <w:noWrap/>
            <w:vAlign w:val="center"/>
          </w:tcPr>
          <w:p>
            <w:r>
              <w:rPr>
                <w:rFonts w:hint="eastAsia"/>
              </w:rPr>
              <w:t>四小-文华路</w:t>
            </w:r>
          </w:p>
        </w:tc>
        <w:tc>
          <w:tcPr>
            <w:tcW w:w="1511" w:type="dxa"/>
            <w:tcBorders>
              <w:top w:val="nil"/>
              <w:left w:val="nil"/>
              <w:bottom w:val="single" w:color="auto" w:sz="4" w:space="0"/>
              <w:right w:val="single" w:color="auto" w:sz="4" w:space="0"/>
            </w:tcBorders>
            <w:shd w:val="clear" w:color="auto" w:fill="auto"/>
            <w:noWrap/>
            <w:vAlign w:val="center"/>
          </w:tcPr>
          <w:p>
            <w:r>
              <w:rPr>
                <w:rFonts w:hint="eastAsia"/>
              </w:rPr>
              <w:t>2061</w:t>
            </w:r>
          </w:p>
        </w:tc>
        <w:tc>
          <w:tcPr>
            <w:tcW w:w="1005" w:type="dxa"/>
            <w:tcBorders>
              <w:top w:val="nil"/>
              <w:left w:val="nil"/>
              <w:bottom w:val="single" w:color="auto" w:sz="4" w:space="0"/>
              <w:right w:val="single" w:color="auto" w:sz="4" w:space="0"/>
            </w:tcBorders>
            <w:shd w:val="clear" w:color="auto" w:fill="auto"/>
            <w:noWrap/>
            <w:vAlign w:val="center"/>
          </w:tcPr>
          <w:p>
            <w:r>
              <w:rPr>
                <w:rFonts w:hint="eastAsia"/>
              </w:rPr>
              <w:t>235</w:t>
            </w:r>
          </w:p>
        </w:tc>
      </w:tr>
      <w:tr>
        <w:tblPrEx>
          <w:tblCellMar>
            <w:top w:w="0" w:type="dxa"/>
            <w:left w:w="108" w:type="dxa"/>
            <w:bottom w:w="0" w:type="dxa"/>
            <w:right w:w="108" w:type="dxa"/>
          </w:tblCellMar>
        </w:tblPrEx>
        <w:trPr>
          <w:trHeight w:val="455" w:hRule="atLeast"/>
        </w:trPr>
        <w:tc>
          <w:tcPr>
            <w:tcW w:w="1005" w:type="dxa"/>
            <w:tcBorders>
              <w:top w:val="nil"/>
              <w:left w:val="single" w:color="auto" w:sz="4" w:space="0"/>
              <w:bottom w:val="single" w:color="auto" w:sz="4" w:space="0"/>
              <w:right w:val="single" w:color="auto" w:sz="4" w:space="0"/>
            </w:tcBorders>
            <w:shd w:val="clear" w:color="auto" w:fill="auto"/>
            <w:noWrap/>
            <w:vAlign w:val="center"/>
          </w:tcPr>
          <w:p>
            <w:r>
              <w:rPr>
                <w:rFonts w:hint="eastAsia"/>
              </w:rPr>
              <w:t>4</w:t>
            </w:r>
          </w:p>
        </w:tc>
        <w:tc>
          <w:tcPr>
            <w:tcW w:w="1433" w:type="dxa"/>
            <w:tcBorders>
              <w:top w:val="nil"/>
              <w:left w:val="nil"/>
              <w:bottom w:val="single" w:color="auto" w:sz="4" w:space="0"/>
              <w:right w:val="single" w:color="auto" w:sz="4" w:space="0"/>
            </w:tcBorders>
            <w:shd w:val="clear" w:color="auto" w:fill="auto"/>
            <w:noWrap/>
            <w:vAlign w:val="center"/>
          </w:tcPr>
          <w:p>
            <w:r>
              <w:rPr>
                <w:rFonts w:hint="eastAsia"/>
              </w:rPr>
              <w:t>新鹤路</w:t>
            </w:r>
          </w:p>
        </w:tc>
        <w:tc>
          <w:tcPr>
            <w:tcW w:w="3701" w:type="dxa"/>
            <w:tcBorders>
              <w:top w:val="nil"/>
              <w:left w:val="nil"/>
              <w:bottom w:val="single" w:color="auto" w:sz="4" w:space="0"/>
              <w:right w:val="single" w:color="auto" w:sz="4" w:space="0"/>
            </w:tcBorders>
            <w:shd w:val="clear" w:color="auto" w:fill="auto"/>
            <w:noWrap/>
            <w:vAlign w:val="center"/>
          </w:tcPr>
          <w:p>
            <w:r>
              <w:rPr>
                <w:rFonts w:hint="eastAsia"/>
              </w:rPr>
              <w:t>富华路-人民路</w:t>
            </w:r>
          </w:p>
        </w:tc>
        <w:tc>
          <w:tcPr>
            <w:tcW w:w="1511" w:type="dxa"/>
            <w:tcBorders>
              <w:top w:val="nil"/>
              <w:left w:val="nil"/>
              <w:bottom w:val="single" w:color="auto" w:sz="4" w:space="0"/>
              <w:right w:val="single" w:color="auto" w:sz="4" w:space="0"/>
            </w:tcBorders>
            <w:shd w:val="clear" w:color="auto" w:fill="auto"/>
            <w:noWrap/>
            <w:vAlign w:val="center"/>
          </w:tcPr>
          <w:p>
            <w:r>
              <w:rPr>
                <w:rFonts w:hint="eastAsia"/>
              </w:rPr>
              <w:t>1053</w:t>
            </w:r>
          </w:p>
        </w:tc>
        <w:tc>
          <w:tcPr>
            <w:tcW w:w="1005" w:type="dxa"/>
            <w:tcBorders>
              <w:top w:val="nil"/>
              <w:left w:val="nil"/>
              <w:bottom w:val="single" w:color="auto" w:sz="4" w:space="0"/>
              <w:right w:val="single" w:color="auto" w:sz="4" w:space="0"/>
            </w:tcBorders>
            <w:shd w:val="clear" w:color="auto" w:fill="auto"/>
            <w:noWrap/>
            <w:vAlign w:val="center"/>
          </w:tcPr>
          <w:p>
            <w:r>
              <w:rPr>
                <w:rFonts w:hint="eastAsia"/>
              </w:rPr>
              <w:t>99</w:t>
            </w:r>
          </w:p>
        </w:tc>
      </w:tr>
      <w:tr>
        <w:tblPrEx>
          <w:tblCellMar>
            <w:top w:w="0" w:type="dxa"/>
            <w:left w:w="108" w:type="dxa"/>
            <w:bottom w:w="0" w:type="dxa"/>
            <w:right w:w="108" w:type="dxa"/>
          </w:tblCellMar>
        </w:tblPrEx>
        <w:trPr>
          <w:trHeight w:val="455" w:hRule="atLeast"/>
        </w:trPr>
        <w:tc>
          <w:tcPr>
            <w:tcW w:w="1005" w:type="dxa"/>
            <w:tcBorders>
              <w:top w:val="nil"/>
              <w:left w:val="single" w:color="auto" w:sz="4" w:space="0"/>
              <w:bottom w:val="single" w:color="auto" w:sz="4" w:space="0"/>
              <w:right w:val="single" w:color="auto" w:sz="4" w:space="0"/>
            </w:tcBorders>
            <w:shd w:val="clear" w:color="auto" w:fill="auto"/>
            <w:noWrap/>
            <w:vAlign w:val="center"/>
          </w:tcPr>
          <w:p>
            <w:r>
              <w:rPr>
                <w:rFonts w:hint="eastAsia"/>
              </w:rPr>
              <w:t>5</w:t>
            </w:r>
          </w:p>
        </w:tc>
        <w:tc>
          <w:tcPr>
            <w:tcW w:w="1433" w:type="dxa"/>
            <w:tcBorders>
              <w:top w:val="nil"/>
              <w:left w:val="nil"/>
              <w:bottom w:val="single" w:color="auto" w:sz="4" w:space="0"/>
              <w:right w:val="single" w:color="auto" w:sz="4" w:space="0"/>
            </w:tcBorders>
            <w:shd w:val="clear" w:color="auto" w:fill="auto"/>
            <w:noWrap/>
            <w:vAlign w:val="center"/>
          </w:tcPr>
          <w:p>
            <w:r>
              <w:rPr>
                <w:rFonts w:hint="eastAsia"/>
              </w:rPr>
              <w:t>新风路</w:t>
            </w:r>
          </w:p>
        </w:tc>
        <w:tc>
          <w:tcPr>
            <w:tcW w:w="3701" w:type="dxa"/>
            <w:tcBorders>
              <w:top w:val="nil"/>
              <w:left w:val="nil"/>
              <w:bottom w:val="single" w:color="auto" w:sz="4" w:space="0"/>
              <w:right w:val="single" w:color="auto" w:sz="4" w:space="0"/>
            </w:tcBorders>
            <w:shd w:val="clear" w:color="auto" w:fill="auto"/>
            <w:noWrap/>
            <w:vAlign w:val="center"/>
          </w:tcPr>
          <w:p>
            <w:r>
              <w:rPr>
                <w:rFonts w:hint="eastAsia"/>
              </w:rPr>
              <w:t>中山路-人民路</w:t>
            </w:r>
          </w:p>
        </w:tc>
        <w:tc>
          <w:tcPr>
            <w:tcW w:w="1511" w:type="dxa"/>
            <w:tcBorders>
              <w:top w:val="nil"/>
              <w:left w:val="nil"/>
              <w:bottom w:val="single" w:color="auto" w:sz="4" w:space="0"/>
              <w:right w:val="single" w:color="auto" w:sz="4" w:space="0"/>
            </w:tcBorders>
            <w:shd w:val="clear" w:color="auto" w:fill="auto"/>
            <w:noWrap/>
            <w:vAlign w:val="center"/>
          </w:tcPr>
          <w:p>
            <w:r>
              <w:rPr>
                <w:rFonts w:hint="eastAsia"/>
              </w:rPr>
              <w:t>659</w:t>
            </w:r>
          </w:p>
        </w:tc>
        <w:tc>
          <w:tcPr>
            <w:tcW w:w="1005" w:type="dxa"/>
            <w:tcBorders>
              <w:top w:val="nil"/>
              <w:left w:val="nil"/>
              <w:bottom w:val="single" w:color="auto" w:sz="4" w:space="0"/>
              <w:right w:val="single" w:color="auto" w:sz="4" w:space="0"/>
            </w:tcBorders>
            <w:shd w:val="clear" w:color="auto" w:fill="auto"/>
            <w:noWrap/>
            <w:vAlign w:val="center"/>
          </w:tcPr>
          <w:p>
            <w:r>
              <w:rPr>
                <w:rFonts w:hint="eastAsia"/>
              </w:rPr>
              <w:t>65</w:t>
            </w:r>
          </w:p>
        </w:tc>
      </w:tr>
      <w:tr>
        <w:tblPrEx>
          <w:tblCellMar>
            <w:top w:w="0" w:type="dxa"/>
            <w:left w:w="108" w:type="dxa"/>
            <w:bottom w:w="0" w:type="dxa"/>
            <w:right w:w="108" w:type="dxa"/>
          </w:tblCellMar>
        </w:tblPrEx>
        <w:trPr>
          <w:trHeight w:val="455" w:hRule="atLeast"/>
        </w:trPr>
        <w:tc>
          <w:tcPr>
            <w:tcW w:w="1005" w:type="dxa"/>
            <w:tcBorders>
              <w:top w:val="nil"/>
              <w:left w:val="single" w:color="auto" w:sz="4" w:space="0"/>
              <w:bottom w:val="single" w:color="auto" w:sz="4" w:space="0"/>
              <w:right w:val="single" w:color="auto" w:sz="4" w:space="0"/>
            </w:tcBorders>
            <w:shd w:val="clear" w:color="auto" w:fill="auto"/>
            <w:noWrap/>
            <w:vAlign w:val="center"/>
          </w:tcPr>
          <w:p>
            <w:r>
              <w:rPr>
                <w:rFonts w:hint="eastAsia"/>
              </w:rPr>
              <w:t>6</w:t>
            </w:r>
          </w:p>
        </w:tc>
        <w:tc>
          <w:tcPr>
            <w:tcW w:w="1433" w:type="dxa"/>
            <w:tcBorders>
              <w:top w:val="nil"/>
              <w:left w:val="nil"/>
              <w:bottom w:val="single" w:color="auto" w:sz="4" w:space="0"/>
              <w:right w:val="single" w:color="auto" w:sz="4" w:space="0"/>
            </w:tcBorders>
            <w:shd w:val="clear" w:color="auto" w:fill="auto"/>
            <w:noWrap/>
            <w:vAlign w:val="center"/>
          </w:tcPr>
          <w:p>
            <w:r>
              <w:rPr>
                <w:rFonts w:hint="eastAsia"/>
              </w:rPr>
              <w:t>新湖路</w:t>
            </w:r>
          </w:p>
        </w:tc>
        <w:tc>
          <w:tcPr>
            <w:tcW w:w="3701" w:type="dxa"/>
            <w:tcBorders>
              <w:top w:val="nil"/>
              <w:left w:val="nil"/>
              <w:bottom w:val="single" w:color="auto" w:sz="4" w:space="0"/>
              <w:right w:val="single" w:color="auto" w:sz="4" w:space="0"/>
            </w:tcBorders>
            <w:shd w:val="clear" w:color="auto" w:fill="auto"/>
            <w:noWrap/>
            <w:vAlign w:val="center"/>
          </w:tcPr>
          <w:p>
            <w:r>
              <w:rPr>
                <w:rFonts w:hint="eastAsia"/>
              </w:rPr>
              <w:t>北湖路-人民路</w:t>
            </w:r>
          </w:p>
        </w:tc>
        <w:tc>
          <w:tcPr>
            <w:tcW w:w="1511" w:type="dxa"/>
            <w:tcBorders>
              <w:top w:val="nil"/>
              <w:left w:val="nil"/>
              <w:bottom w:val="single" w:color="auto" w:sz="4" w:space="0"/>
              <w:right w:val="single" w:color="auto" w:sz="4" w:space="0"/>
            </w:tcBorders>
            <w:shd w:val="clear" w:color="auto" w:fill="auto"/>
            <w:noWrap/>
            <w:vAlign w:val="center"/>
          </w:tcPr>
          <w:p>
            <w:r>
              <w:rPr>
                <w:rFonts w:hint="eastAsia"/>
              </w:rPr>
              <w:t>730</w:t>
            </w:r>
          </w:p>
        </w:tc>
        <w:tc>
          <w:tcPr>
            <w:tcW w:w="1005" w:type="dxa"/>
            <w:tcBorders>
              <w:top w:val="nil"/>
              <w:left w:val="nil"/>
              <w:bottom w:val="single" w:color="auto" w:sz="4" w:space="0"/>
              <w:right w:val="single" w:color="auto" w:sz="4" w:space="0"/>
            </w:tcBorders>
            <w:shd w:val="clear" w:color="auto" w:fill="auto"/>
            <w:noWrap/>
            <w:vAlign w:val="center"/>
          </w:tcPr>
          <w:p>
            <w:r>
              <w:rPr>
                <w:rFonts w:hint="eastAsia"/>
              </w:rPr>
              <w:t>71</w:t>
            </w:r>
          </w:p>
        </w:tc>
      </w:tr>
      <w:tr>
        <w:tblPrEx>
          <w:tblCellMar>
            <w:top w:w="0" w:type="dxa"/>
            <w:left w:w="108" w:type="dxa"/>
            <w:bottom w:w="0" w:type="dxa"/>
            <w:right w:w="108" w:type="dxa"/>
          </w:tblCellMar>
        </w:tblPrEx>
        <w:trPr>
          <w:trHeight w:val="455" w:hRule="atLeast"/>
        </w:trPr>
        <w:tc>
          <w:tcPr>
            <w:tcW w:w="1005" w:type="dxa"/>
            <w:tcBorders>
              <w:top w:val="nil"/>
              <w:left w:val="single" w:color="auto" w:sz="4" w:space="0"/>
              <w:bottom w:val="single" w:color="auto" w:sz="4" w:space="0"/>
              <w:right w:val="single" w:color="auto" w:sz="4" w:space="0"/>
            </w:tcBorders>
            <w:shd w:val="clear" w:color="auto" w:fill="auto"/>
            <w:noWrap/>
            <w:vAlign w:val="center"/>
          </w:tcPr>
          <w:p>
            <w:r>
              <w:rPr>
                <w:rFonts w:hint="eastAsia"/>
              </w:rPr>
              <w:t>7</w:t>
            </w:r>
          </w:p>
        </w:tc>
        <w:tc>
          <w:tcPr>
            <w:tcW w:w="1433" w:type="dxa"/>
            <w:tcBorders>
              <w:top w:val="nil"/>
              <w:left w:val="nil"/>
              <w:bottom w:val="single" w:color="auto" w:sz="4" w:space="0"/>
              <w:right w:val="single" w:color="auto" w:sz="4" w:space="0"/>
            </w:tcBorders>
            <w:shd w:val="clear" w:color="auto" w:fill="auto"/>
            <w:noWrap/>
            <w:vAlign w:val="center"/>
          </w:tcPr>
          <w:p>
            <w:r>
              <w:rPr>
                <w:rFonts w:hint="eastAsia"/>
              </w:rPr>
              <w:t>前进路</w:t>
            </w:r>
          </w:p>
        </w:tc>
        <w:tc>
          <w:tcPr>
            <w:tcW w:w="3701" w:type="dxa"/>
            <w:tcBorders>
              <w:top w:val="nil"/>
              <w:left w:val="nil"/>
              <w:bottom w:val="single" w:color="auto" w:sz="4" w:space="0"/>
              <w:right w:val="single" w:color="auto" w:sz="4" w:space="0"/>
            </w:tcBorders>
            <w:shd w:val="clear" w:color="auto" w:fill="auto"/>
            <w:noWrap/>
            <w:vAlign w:val="center"/>
          </w:tcPr>
          <w:p>
            <w:r>
              <w:rPr>
                <w:rFonts w:hint="eastAsia"/>
              </w:rPr>
              <w:t>人民路水利局-人民路人民医院</w:t>
            </w:r>
          </w:p>
        </w:tc>
        <w:tc>
          <w:tcPr>
            <w:tcW w:w="1511" w:type="dxa"/>
            <w:tcBorders>
              <w:top w:val="nil"/>
              <w:left w:val="nil"/>
              <w:bottom w:val="single" w:color="auto" w:sz="4" w:space="0"/>
              <w:right w:val="single" w:color="auto" w:sz="4" w:space="0"/>
            </w:tcBorders>
            <w:shd w:val="clear" w:color="auto" w:fill="auto"/>
            <w:noWrap/>
            <w:vAlign w:val="center"/>
          </w:tcPr>
          <w:p>
            <w:r>
              <w:rPr>
                <w:rFonts w:hint="eastAsia"/>
              </w:rPr>
              <w:t>1035</w:t>
            </w:r>
          </w:p>
        </w:tc>
        <w:tc>
          <w:tcPr>
            <w:tcW w:w="1005" w:type="dxa"/>
            <w:tcBorders>
              <w:top w:val="nil"/>
              <w:left w:val="nil"/>
              <w:bottom w:val="single" w:color="auto" w:sz="4" w:space="0"/>
              <w:right w:val="single" w:color="auto" w:sz="4" w:space="0"/>
            </w:tcBorders>
            <w:shd w:val="clear" w:color="auto" w:fill="auto"/>
            <w:noWrap/>
            <w:vAlign w:val="center"/>
          </w:tcPr>
          <w:p>
            <w:r>
              <w:rPr>
                <w:rFonts w:hint="eastAsia"/>
              </w:rPr>
              <w:t>96</w:t>
            </w:r>
          </w:p>
        </w:tc>
      </w:tr>
      <w:tr>
        <w:tblPrEx>
          <w:tblCellMar>
            <w:top w:w="0" w:type="dxa"/>
            <w:left w:w="108" w:type="dxa"/>
            <w:bottom w:w="0" w:type="dxa"/>
            <w:right w:w="108" w:type="dxa"/>
          </w:tblCellMar>
        </w:tblPrEx>
        <w:trPr>
          <w:trHeight w:val="455" w:hRule="atLeast"/>
        </w:trPr>
        <w:tc>
          <w:tcPr>
            <w:tcW w:w="1005" w:type="dxa"/>
            <w:tcBorders>
              <w:top w:val="nil"/>
              <w:left w:val="single" w:color="auto" w:sz="4" w:space="0"/>
              <w:bottom w:val="single" w:color="auto" w:sz="4" w:space="0"/>
              <w:right w:val="single" w:color="auto" w:sz="4" w:space="0"/>
            </w:tcBorders>
            <w:shd w:val="clear" w:color="auto" w:fill="auto"/>
            <w:noWrap/>
            <w:vAlign w:val="center"/>
          </w:tcPr>
          <w:p>
            <w:r>
              <w:rPr>
                <w:rFonts w:hint="eastAsia"/>
              </w:rPr>
              <w:t>8</w:t>
            </w:r>
          </w:p>
        </w:tc>
        <w:tc>
          <w:tcPr>
            <w:tcW w:w="1433" w:type="dxa"/>
            <w:tcBorders>
              <w:top w:val="nil"/>
              <w:left w:val="nil"/>
              <w:bottom w:val="single" w:color="auto" w:sz="4" w:space="0"/>
              <w:right w:val="single" w:color="auto" w:sz="4" w:space="0"/>
            </w:tcBorders>
            <w:shd w:val="clear" w:color="auto" w:fill="auto"/>
            <w:noWrap/>
            <w:vAlign w:val="center"/>
          </w:tcPr>
          <w:p>
            <w:r>
              <w:rPr>
                <w:rFonts w:hint="eastAsia"/>
              </w:rPr>
              <w:t>前进南路</w:t>
            </w:r>
          </w:p>
        </w:tc>
        <w:tc>
          <w:tcPr>
            <w:tcW w:w="3701" w:type="dxa"/>
            <w:tcBorders>
              <w:top w:val="nil"/>
              <w:left w:val="nil"/>
              <w:bottom w:val="single" w:color="auto" w:sz="4" w:space="0"/>
              <w:right w:val="single" w:color="auto" w:sz="4" w:space="0"/>
            </w:tcBorders>
            <w:shd w:val="clear" w:color="auto" w:fill="auto"/>
            <w:noWrap/>
            <w:vAlign w:val="center"/>
          </w:tcPr>
          <w:p>
            <w:r>
              <w:rPr>
                <w:rFonts w:hint="eastAsia"/>
              </w:rPr>
              <w:t>人民路-凤盈西街</w:t>
            </w:r>
          </w:p>
        </w:tc>
        <w:tc>
          <w:tcPr>
            <w:tcW w:w="1511" w:type="dxa"/>
            <w:tcBorders>
              <w:top w:val="nil"/>
              <w:left w:val="nil"/>
              <w:bottom w:val="single" w:color="auto" w:sz="4" w:space="0"/>
              <w:right w:val="single" w:color="auto" w:sz="4" w:space="0"/>
            </w:tcBorders>
            <w:shd w:val="clear" w:color="auto" w:fill="auto"/>
            <w:noWrap/>
            <w:vAlign w:val="center"/>
          </w:tcPr>
          <w:p>
            <w:r>
              <w:rPr>
                <w:rFonts w:hint="eastAsia"/>
              </w:rPr>
              <w:t>1720</w:t>
            </w:r>
          </w:p>
        </w:tc>
        <w:tc>
          <w:tcPr>
            <w:tcW w:w="1005" w:type="dxa"/>
            <w:tcBorders>
              <w:top w:val="nil"/>
              <w:left w:val="nil"/>
              <w:bottom w:val="single" w:color="auto" w:sz="4" w:space="0"/>
              <w:right w:val="single" w:color="auto" w:sz="4" w:space="0"/>
            </w:tcBorders>
            <w:shd w:val="clear" w:color="auto" w:fill="auto"/>
            <w:noWrap/>
            <w:vAlign w:val="center"/>
          </w:tcPr>
          <w:p>
            <w:r>
              <w:rPr>
                <w:rFonts w:hint="eastAsia"/>
              </w:rPr>
              <w:t>280</w:t>
            </w:r>
          </w:p>
        </w:tc>
      </w:tr>
      <w:tr>
        <w:tblPrEx>
          <w:tblCellMar>
            <w:top w:w="0" w:type="dxa"/>
            <w:left w:w="108" w:type="dxa"/>
            <w:bottom w:w="0" w:type="dxa"/>
            <w:right w:w="108" w:type="dxa"/>
          </w:tblCellMar>
        </w:tblPrEx>
        <w:trPr>
          <w:trHeight w:val="455" w:hRule="atLeast"/>
        </w:trPr>
        <w:tc>
          <w:tcPr>
            <w:tcW w:w="1005" w:type="dxa"/>
            <w:tcBorders>
              <w:top w:val="nil"/>
              <w:left w:val="single" w:color="auto" w:sz="4" w:space="0"/>
              <w:bottom w:val="single" w:color="auto" w:sz="4" w:space="0"/>
              <w:right w:val="single" w:color="auto" w:sz="4" w:space="0"/>
            </w:tcBorders>
            <w:shd w:val="clear" w:color="auto" w:fill="auto"/>
            <w:noWrap/>
            <w:vAlign w:val="center"/>
          </w:tcPr>
          <w:p>
            <w:r>
              <w:rPr>
                <w:rFonts w:hint="eastAsia"/>
              </w:rPr>
              <w:t>9</w:t>
            </w:r>
          </w:p>
        </w:tc>
        <w:tc>
          <w:tcPr>
            <w:tcW w:w="1433" w:type="dxa"/>
            <w:tcBorders>
              <w:top w:val="nil"/>
              <w:left w:val="nil"/>
              <w:bottom w:val="single" w:color="auto" w:sz="4" w:space="0"/>
              <w:right w:val="single" w:color="auto" w:sz="4" w:space="0"/>
            </w:tcBorders>
            <w:shd w:val="clear" w:color="auto" w:fill="auto"/>
            <w:noWrap/>
            <w:vAlign w:val="center"/>
          </w:tcPr>
          <w:p>
            <w:r>
              <w:rPr>
                <w:rFonts w:hint="eastAsia"/>
              </w:rPr>
              <w:t>人民路</w:t>
            </w:r>
          </w:p>
        </w:tc>
        <w:tc>
          <w:tcPr>
            <w:tcW w:w="3701" w:type="dxa"/>
            <w:tcBorders>
              <w:top w:val="nil"/>
              <w:left w:val="nil"/>
              <w:bottom w:val="single" w:color="auto" w:sz="4" w:space="0"/>
              <w:right w:val="single" w:color="auto" w:sz="4" w:space="0"/>
            </w:tcBorders>
            <w:shd w:val="clear" w:color="auto" w:fill="auto"/>
            <w:noWrap/>
            <w:vAlign w:val="center"/>
          </w:tcPr>
          <w:p>
            <w:r>
              <w:rPr>
                <w:rFonts w:hint="eastAsia"/>
              </w:rPr>
              <w:t>前进南路-文华路</w:t>
            </w:r>
          </w:p>
        </w:tc>
        <w:tc>
          <w:tcPr>
            <w:tcW w:w="1511" w:type="dxa"/>
            <w:tcBorders>
              <w:top w:val="nil"/>
              <w:left w:val="nil"/>
              <w:bottom w:val="single" w:color="auto" w:sz="4" w:space="0"/>
              <w:right w:val="single" w:color="auto" w:sz="4" w:space="0"/>
            </w:tcBorders>
            <w:shd w:val="clear" w:color="auto" w:fill="auto"/>
            <w:noWrap/>
            <w:vAlign w:val="center"/>
          </w:tcPr>
          <w:p>
            <w:r>
              <w:rPr>
                <w:rFonts w:hint="eastAsia"/>
              </w:rPr>
              <w:t>1209</w:t>
            </w:r>
          </w:p>
        </w:tc>
        <w:tc>
          <w:tcPr>
            <w:tcW w:w="1005" w:type="dxa"/>
            <w:tcBorders>
              <w:top w:val="nil"/>
              <w:left w:val="nil"/>
              <w:bottom w:val="single" w:color="auto" w:sz="4" w:space="0"/>
              <w:right w:val="single" w:color="auto" w:sz="4" w:space="0"/>
            </w:tcBorders>
            <w:shd w:val="clear" w:color="auto" w:fill="auto"/>
            <w:noWrap/>
            <w:vAlign w:val="center"/>
          </w:tcPr>
          <w:p>
            <w:r>
              <w:rPr>
                <w:rFonts w:hint="eastAsia"/>
              </w:rPr>
              <w:t>155</w:t>
            </w:r>
          </w:p>
        </w:tc>
      </w:tr>
      <w:tr>
        <w:tblPrEx>
          <w:tblCellMar>
            <w:top w:w="0" w:type="dxa"/>
            <w:left w:w="108" w:type="dxa"/>
            <w:bottom w:w="0" w:type="dxa"/>
            <w:right w:w="108" w:type="dxa"/>
          </w:tblCellMar>
        </w:tblPrEx>
        <w:trPr>
          <w:trHeight w:val="455" w:hRule="atLeast"/>
        </w:trPr>
        <w:tc>
          <w:tcPr>
            <w:tcW w:w="1005" w:type="dxa"/>
            <w:tcBorders>
              <w:top w:val="nil"/>
              <w:left w:val="single" w:color="auto" w:sz="4" w:space="0"/>
              <w:bottom w:val="single" w:color="auto" w:sz="4" w:space="0"/>
              <w:right w:val="single" w:color="auto" w:sz="4" w:space="0"/>
            </w:tcBorders>
            <w:shd w:val="clear" w:color="auto" w:fill="auto"/>
            <w:noWrap/>
            <w:vAlign w:val="center"/>
          </w:tcPr>
          <w:p>
            <w:r>
              <w:rPr>
                <w:rFonts w:hint="eastAsia"/>
              </w:rPr>
              <w:t>10</w:t>
            </w:r>
          </w:p>
        </w:tc>
        <w:tc>
          <w:tcPr>
            <w:tcW w:w="1433" w:type="dxa"/>
            <w:tcBorders>
              <w:top w:val="nil"/>
              <w:left w:val="nil"/>
              <w:bottom w:val="single" w:color="auto" w:sz="4" w:space="0"/>
              <w:right w:val="single" w:color="auto" w:sz="4" w:space="0"/>
            </w:tcBorders>
            <w:shd w:val="clear" w:color="auto" w:fill="auto"/>
            <w:noWrap/>
            <w:vAlign w:val="center"/>
          </w:tcPr>
          <w:p>
            <w:r>
              <w:rPr>
                <w:rFonts w:hint="eastAsia"/>
              </w:rPr>
              <w:t>经华路</w:t>
            </w:r>
          </w:p>
        </w:tc>
        <w:tc>
          <w:tcPr>
            <w:tcW w:w="3701" w:type="dxa"/>
            <w:tcBorders>
              <w:top w:val="nil"/>
              <w:left w:val="nil"/>
              <w:bottom w:val="single" w:color="auto" w:sz="4" w:space="0"/>
              <w:right w:val="single" w:color="auto" w:sz="4" w:space="0"/>
            </w:tcBorders>
            <w:shd w:val="clear" w:color="auto" w:fill="auto"/>
            <w:noWrap/>
            <w:vAlign w:val="center"/>
          </w:tcPr>
          <w:p>
            <w:r>
              <w:rPr>
                <w:rFonts w:hint="eastAsia"/>
              </w:rPr>
              <w:t>前进南路-小范街</w:t>
            </w:r>
          </w:p>
        </w:tc>
        <w:tc>
          <w:tcPr>
            <w:tcW w:w="1511" w:type="dxa"/>
            <w:tcBorders>
              <w:top w:val="nil"/>
              <w:left w:val="nil"/>
              <w:bottom w:val="single" w:color="auto" w:sz="4" w:space="0"/>
              <w:right w:val="single" w:color="auto" w:sz="4" w:space="0"/>
            </w:tcBorders>
            <w:shd w:val="clear" w:color="auto" w:fill="auto"/>
            <w:noWrap/>
            <w:vAlign w:val="center"/>
          </w:tcPr>
          <w:p>
            <w:r>
              <w:rPr>
                <w:rFonts w:hint="eastAsia"/>
              </w:rPr>
              <w:t>358</w:t>
            </w:r>
          </w:p>
        </w:tc>
        <w:tc>
          <w:tcPr>
            <w:tcW w:w="1005" w:type="dxa"/>
            <w:tcBorders>
              <w:top w:val="nil"/>
              <w:left w:val="nil"/>
              <w:bottom w:val="single" w:color="auto" w:sz="4" w:space="0"/>
              <w:right w:val="single" w:color="auto" w:sz="4" w:space="0"/>
            </w:tcBorders>
            <w:shd w:val="clear" w:color="auto" w:fill="auto"/>
            <w:noWrap/>
            <w:vAlign w:val="center"/>
          </w:tcPr>
          <w:p>
            <w:r>
              <w:rPr>
                <w:rFonts w:hint="eastAsia"/>
              </w:rPr>
              <w:t>72</w:t>
            </w:r>
          </w:p>
        </w:tc>
      </w:tr>
      <w:tr>
        <w:tblPrEx>
          <w:tblCellMar>
            <w:top w:w="0" w:type="dxa"/>
            <w:left w:w="108" w:type="dxa"/>
            <w:bottom w:w="0" w:type="dxa"/>
            <w:right w:w="108" w:type="dxa"/>
          </w:tblCellMar>
        </w:tblPrEx>
        <w:trPr>
          <w:trHeight w:val="455" w:hRule="atLeast"/>
        </w:trPr>
        <w:tc>
          <w:tcPr>
            <w:tcW w:w="1005" w:type="dxa"/>
            <w:tcBorders>
              <w:top w:val="nil"/>
              <w:left w:val="single" w:color="auto" w:sz="4" w:space="0"/>
              <w:bottom w:val="single" w:color="auto" w:sz="4" w:space="0"/>
              <w:right w:val="single" w:color="auto" w:sz="4" w:space="0"/>
            </w:tcBorders>
            <w:shd w:val="clear" w:color="auto" w:fill="auto"/>
            <w:noWrap/>
            <w:vAlign w:val="center"/>
          </w:tcPr>
          <w:p>
            <w:r>
              <w:rPr>
                <w:rFonts w:hint="eastAsia"/>
              </w:rPr>
              <w:t>11</w:t>
            </w:r>
          </w:p>
        </w:tc>
        <w:tc>
          <w:tcPr>
            <w:tcW w:w="1433" w:type="dxa"/>
            <w:tcBorders>
              <w:top w:val="nil"/>
              <w:left w:val="nil"/>
              <w:bottom w:val="single" w:color="auto" w:sz="4" w:space="0"/>
              <w:right w:val="single" w:color="auto" w:sz="4" w:space="0"/>
            </w:tcBorders>
            <w:shd w:val="clear" w:color="auto" w:fill="auto"/>
            <w:noWrap/>
            <w:vAlign w:val="center"/>
          </w:tcPr>
          <w:p>
            <w:r>
              <w:rPr>
                <w:rFonts w:hint="eastAsia"/>
              </w:rPr>
              <w:t>富华路</w:t>
            </w:r>
          </w:p>
        </w:tc>
        <w:tc>
          <w:tcPr>
            <w:tcW w:w="3701" w:type="dxa"/>
            <w:tcBorders>
              <w:top w:val="nil"/>
              <w:left w:val="nil"/>
              <w:bottom w:val="single" w:color="auto" w:sz="4" w:space="0"/>
              <w:right w:val="single" w:color="auto" w:sz="4" w:space="0"/>
            </w:tcBorders>
            <w:shd w:val="clear" w:color="auto" w:fill="auto"/>
            <w:noWrap/>
            <w:vAlign w:val="center"/>
          </w:tcPr>
          <w:p>
            <w:r>
              <w:rPr>
                <w:rFonts w:hint="eastAsia"/>
              </w:rPr>
              <w:t>新鹤路-新环路</w:t>
            </w:r>
          </w:p>
        </w:tc>
        <w:tc>
          <w:tcPr>
            <w:tcW w:w="1511" w:type="dxa"/>
            <w:tcBorders>
              <w:top w:val="nil"/>
              <w:left w:val="nil"/>
              <w:bottom w:val="single" w:color="auto" w:sz="4" w:space="0"/>
              <w:right w:val="single" w:color="auto" w:sz="4" w:space="0"/>
            </w:tcBorders>
            <w:shd w:val="clear" w:color="auto" w:fill="auto"/>
            <w:noWrap/>
            <w:vAlign w:val="center"/>
          </w:tcPr>
          <w:p>
            <w:r>
              <w:rPr>
                <w:rFonts w:hint="eastAsia"/>
              </w:rPr>
              <w:t>656</w:t>
            </w:r>
          </w:p>
        </w:tc>
        <w:tc>
          <w:tcPr>
            <w:tcW w:w="1005" w:type="dxa"/>
            <w:tcBorders>
              <w:top w:val="nil"/>
              <w:left w:val="nil"/>
              <w:bottom w:val="single" w:color="auto" w:sz="4" w:space="0"/>
              <w:right w:val="single" w:color="auto" w:sz="4" w:space="0"/>
            </w:tcBorders>
            <w:shd w:val="clear" w:color="auto" w:fill="auto"/>
            <w:noWrap/>
            <w:vAlign w:val="center"/>
          </w:tcPr>
          <w:p>
            <w:r>
              <w:rPr>
                <w:rFonts w:hint="eastAsia"/>
              </w:rPr>
              <w:t>132</w:t>
            </w:r>
          </w:p>
        </w:tc>
      </w:tr>
      <w:tr>
        <w:tblPrEx>
          <w:tblCellMar>
            <w:top w:w="0" w:type="dxa"/>
            <w:left w:w="108" w:type="dxa"/>
            <w:bottom w:w="0" w:type="dxa"/>
            <w:right w:w="108" w:type="dxa"/>
          </w:tblCellMar>
        </w:tblPrEx>
        <w:trPr>
          <w:trHeight w:val="455" w:hRule="atLeast"/>
        </w:trPr>
        <w:tc>
          <w:tcPr>
            <w:tcW w:w="1005" w:type="dxa"/>
            <w:tcBorders>
              <w:top w:val="nil"/>
              <w:left w:val="single" w:color="auto" w:sz="4" w:space="0"/>
              <w:bottom w:val="single" w:color="auto" w:sz="4" w:space="0"/>
              <w:right w:val="single" w:color="auto" w:sz="4" w:space="0"/>
            </w:tcBorders>
            <w:shd w:val="clear" w:color="auto" w:fill="auto"/>
            <w:noWrap/>
            <w:vAlign w:val="center"/>
          </w:tcPr>
          <w:p>
            <w:r>
              <w:rPr>
                <w:rFonts w:hint="eastAsia"/>
              </w:rPr>
              <w:t>12</w:t>
            </w:r>
          </w:p>
        </w:tc>
        <w:tc>
          <w:tcPr>
            <w:tcW w:w="1433" w:type="dxa"/>
            <w:tcBorders>
              <w:top w:val="nil"/>
              <w:left w:val="nil"/>
              <w:bottom w:val="single" w:color="auto" w:sz="4" w:space="0"/>
              <w:right w:val="single" w:color="auto" w:sz="4" w:space="0"/>
            </w:tcBorders>
            <w:shd w:val="clear" w:color="auto" w:fill="auto"/>
            <w:noWrap/>
            <w:vAlign w:val="center"/>
          </w:tcPr>
          <w:p>
            <w:r>
              <w:rPr>
                <w:rFonts w:hint="eastAsia"/>
              </w:rPr>
              <w:t>中山路</w:t>
            </w:r>
          </w:p>
        </w:tc>
        <w:tc>
          <w:tcPr>
            <w:tcW w:w="3701" w:type="dxa"/>
            <w:tcBorders>
              <w:top w:val="nil"/>
              <w:left w:val="nil"/>
              <w:bottom w:val="single" w:color="auto" w:sz="4" w:space="0"/>
              <w:right w:val="single" w:color="auto" w:sz="4" w:space="0"/>
            </w:tcBorders>
            <w:shd w:val="clear" w:color="auto" w:fill="auto"/>
            <w:noWrap/>
            <w:vAlign w:val="center"/>
          </w:tcPr>
          <w:p>
            <w:r>
              <w:rPr>
                <w:rFonts w:hint="eastAsia"/>
              </w:rPr>
              <w:t>人民路-沙坪河堤</w:t>
            </w:r>
          </w:p>
        </w:tc>
        <w:tc>
          <w:tcPr>
            <w:tcW w:w="1511" w:type="dxa"/>
            <w:tcBorders>
              <w:top w:val="nil"/>
              <w:left w:val="nil"/>
              <w:bottom w:val="single" w:color="auto" w:sz="4" w:space="0"/>
              <w:right w:val="single" w:color="auto" w:sz="4" w:space="0"/>
            </w:tcBorders>
            <w:shd w:val="clear" w:color="auto" w:fill="auto"/>
            <w:noWrap/>
            <w:vAlign w:val="center"/>
          </w:tcPr>
          <w:p>
            <w:r>
              <w:rPr>
                <w:rFonts w:hint="eastAsia"/>
              </w:rPr>
              <w:t>1920</w:t>
            </w:r>
          </w:p>
        </w:tc>
        <w:tc>
          <w:tcPr>
            <w:tcW w:w="1005" w:type="dxa"/>
            <w:tcBorders>
              <w:top w:val="nil"/>
              <w:left w:val="nil"/>
              <w:bottom w:val="single" w:color="auto" w:sz="4" w:space="0"/>
              <w:right w:val="single" w:color="auto" w:sz="4" w:space="0"/>
            </w:tcBorders>
            <w:shd w:val="clear" w:color="auto" w:fill="auto"/>
            <w:noWrap/>
            <w:vAlign w:val="center"/>
          </w:tcPr>
          <w:p>
            <w:r>
              <w:rPr>
                <w:rFonts w:hint="eastAsia"/>
              </w:rPr>
              <w:t>62</w:t>
            </w:r>
          </w:p>
        </w:tc>
      </w:tr>
      <w:tr>
        <w:tblPrEx>
          <w:tblCellMar>
            <w:top w:w="0" w:type="dxa"/>
            <w:left w:w="108" w:type="dxa"/>
            <w:bottom w:w="0" w:type="dxa"/>
            <w:right w:w="108" w:type="dxa"/>
          </w:tblCellMar>
        </w:tblPrEx>
        <w:trPr>
          <w:trHeight w:val="455" w:hRule="atLeast"/>
        </w:trPr>
        <w:tc>
          <w:tcPr>
            <w:tcW w:w="1005" w:type="dxa"/>
            <w:tcBorders>
              <w:top w:val="nil"/>
              <w:left w:val="single" w:color="auto" w:sz="4" w:space="0"/>
              <w:bottom w:val="single" w:color="auto" w:sz="4" w:space="0"/>
              <w:right w:val="single" w:color="auto" w:sz="4" w:space="0"/>
            </w:tcBorders>
            <w:shd w:val="clear" w:color="auto" w:fill="auto"/>
            <w:noWrap/>
            <w:vAlign w:val="center"/>
          </w:tcPr>
          <w:p>
            <w:r>
              <w:rPr>
                <w:rFonts w:hint="eastAsia"/>
              </w:rPr>
              <w:t>13</w:t>
            </w:r>
          </w:p>
        </w:tc>
        <w:tc>
          <w:tcPr>
            <w:tcW w:w="1433" w:type="dxa"/>
            <w:tcBorders>
              <w:top w:val="nil"/>
              <w:left w:val="nil"/>
              <w:bottom w:val="single" w:color="auto" w:sz="4" w:space="0"/>
              <w:right w:val="single" w:color="auto" w:sz="4" w:space="0"/>
            </w:tcBorders>
            <w:shd w:val="clear" w:color="auto" w:fill="auto"/>
            <w:noWrap/>
            <w:vAlign w:val="center"/>
          </w:tcPr>
          <w:p>
            <w:r>
              <w:rPr>
                <w:rFonts w:hint="eastAsia"/>
              </w:rPr>
              <w:t>新华路</w:t>
            </w:r>
          </w:p>
        </w:tc>
        <w:tc>
          <w:tcPr>
            <w:tcW w:w="3701" w:type="dxa"/>
            <w:tcBorders>
              <w:top w:val="nil"/>
              <w:left w:val="nil"/>
              <w:bottom w:val="single" w:color="auto" w:sz="4" w:space="0"/>
              <w:right w:val="single" w:color="auto" w:sz="4" w:space="0"/>
            </w:tcBorders>
            <w:shd w:val="clear" w:color="auto" w:fill="auto"/>
            <w:noWrap/>
            <w:vAlign w:val="center"/>
          </w:tcPr>
          <w:p>
            <w:r>
              <w:rPr>
                <w:rFonts w:hint="eastAsia"/>
              </w:rPr>
              <w:t>前进路-新环路</w:t>
            </w:r>
          </w:p>
        </w:tc>
        <w:tc>
          <w:tcPr>
            <w:tcW w:w="1511" w:type="dxa"/>
            <w:tcBorders>
              <w:top w:val="nil"/>
              <w:left w:val="nil"/>
              <w:bottom w:val="single" w:color="auto" w:sz="4" w:space="0"/>
              <w:right w:val="single" w:color="auto" w:sz="4" w:space="0"/>
            </w:tcBorders>
            <w:shd w:val="clear" w:color="auto" w:fill="auto"/>
            <w:noWrap/>
            <w:vAlign w:val="center"/>
          </w:tcPr>
          <w:p>
            <w:r>
              <w:rPr>
                <w:rFonts w:hint="eastAsia"/>
              </w:rPr>
              <w:t>1082</w:t>
            </w:r>
          </w:p>
        </w:tc>
        <w:tc>
          <w:tcPr>
            <w:tcW w:w="1005" w:type="dxa"/>
            <w:tcBorders>
              <w:top w:val="nil"/>
              <w:left w:val="nil"/>
              <w:bottom w:val="single" w:color="auto" w:sz="4" w:space="0"/>
              <w:right w:val="single" w:color="auto" w:sz="4" w:space="0"/>
            </w:tcBorders>
            <w:shd w:val="clear" w:color="auto" w:fill="auto"/>
            <w:noWrap/>
            <w:vAlign w:val="center"/>
          </w:tcPr>
          <w:p>
            <w:r>
              <w:rPr>
                <w:rFonts w:hint="eastAsia"/>
              </w:rPr>
              <w:t>142</w:t>
            </w:r>
          </w:p>
        </w:tc>
      </w:tr>
      <w:tr>
        <w:tblPrEx>
          <w:tblCellMar>
            <w:top w:w="0" w:type="dxa"/>
            <w:left w:w="108" w:type="dxa"/>
            <w:bottom w:w="0" w:type="dxa"/>
            <w:right w:w="108" w:type="dxa"/>
          </w:tblCellMar>
        </w:tblPrEx>
        <w:trPr>
          <w:trHeight w:val="455" w:hRule="atLeast"/>
        </w:trPr>
        <w:tc>
          <w:tcPr>
            <w:tcW w:w="1005" w:type="dxa"/>
            <w:tcBorders>
              <w:top w:val="nil"/>
              <w:left w:val="single" w:color="auto" w:sz="4" w:space="0"/>
              <w:bottom w:val="single" w:color="auto" w:sz="4" w:space="0"/>
              <w:right w:val="single" w:color="auto" w:sz="4" w:space="0"/>
            </w:tcBorders>
            <w:shd w:val="clear" w:color="auto" w:fill="auto"/>
            <w:noWrap/>
            <w:vAlign w:val="center"/>
          </w:tcPr>
          <w:p>
            <w:r>
              <w:rPr>
                <w:rFonts w:hint="eastAsia"/>
              </w:rPr>
              <w:t>14</w:t>
            </w:r>
          </w:p>
        </w:tc>
        <w:tc>
          <w:tcPr>
            <w:tcW w:w="1433" w:type="dxa"/>
            <w:tcBorders>
              <w:top w:val="nil"/>
              <w:left w:val="nil"/>
              <w:bottom w:val="single" w:color="auto" w:sz="4" w:space="0"/>
              <w:right w:val="single" w:color="auto" w:sz="4" w:space="0"/>
            </w:tcBorders>
            <w:shd w:val="clear" w:color="auto" w:fill="auto"/>
            <w:noWrap/>
            <w:vAlign w:val="center"/>
          </w:tcPr>
          <w:p>
            <w:r>
              <w:rPr>
                <w:rFonts w:hint="eastAsia"/>
              </w:rPr>
              <w:t>裕民路</w:t>
            </w:r>
          </w:p>
        </w:tc>
        <w:tc>
          <w:tcPr>
            <w:tcW w:w="3701" w:type="dxa"/>
            <w:tcBorders>
              <w:top w:val="nil"/>
              <w:left w:val="nil"/>
              <w:bottom w:val="single" w:color="auto" w:sz="4" w:space="0"/>
              <w:right w:val="single" w:color="auto" w:sz="4" w:space="0"/>
            </w:tcBorders>
            <w:shd w:val="clear" w:color="auto" w:fill="auto"/>
            <w:noWrap/>
            <w:vAlign w:val="center"/>
          </w:tcPr>
          <w:p>
            <w:r>
              <w:rPr>
                <w:rFonts w:hint="eastAsia"/>
              </w:rPr>
              <w:t>前进路-新环路</w:t>
            </w:r>
          </w:p>
        </w:tc>
        <w:tc>
          <w:tcPr>
            <w:tcW w:w="1511" w:type="dxa"/>
            <w:tcBorders>
              <w:top w:val="nil"/>
              <w:left w:val="nil"/>
              <w:bottom w:val="single" w:color="auto" w:sz="4" w:space="0"/>
              <w:right w:val="single" w:color="auto" w:sz="4" w:space="0"/>
            </w:tcBorders>
            <w:shd w:val="clear" w:color="auto" w:fill="auto"/>
            <w:noWrap/>
            <w:vAlign w:val="center"/>
          </w:tcPr>
          <w:p>
            <w:r>
              <w:rPr>
                <w:rFonts w:hint="eastAsia"/>
              </w:rPr>
              <w:t>1198</w:t>
            </w:r>
          </w:p>
        </w:tc>
        <w:tc>
          <w:tcPr>
            <w:tcW w:w="1005" w:type="dxa"/>
            <w:tcBorders>
              <w:top w:val="nil"/>
              <w:left w:val="nil"/>
              <w:bottom w:val="single" w:color="auto" w:sz="4" w:space="0"/>
              <w:right w:val="single" w:color="auto" w:sz="4" w:space="0"/>
            </w:tcBorders>
            <w:shd w:val="clear" w:color="auto" w:fill="auto"/>
            <w:noWrap/>
            <w:vAlign w:val="center"/>
          </w:tcPr>
          <w:p>
            <w:r>
              <w:rPr>
                <w:rFonts w:hint="eastAsia"/>
              </w:rPr>
              <w:t>180</w:t>
            </w:r>
          </w:p>
        </w:tc>
      </w:tr>
      <w:tr>
        <w:tblPrEx>
          <w:tblCellMar>
            <w:top w:w="0" w:type="dxa"/>
            <w:left w:w="108" w:type="dxa"/>
            <w:bottom w:w="0" w:type="dxa"/>
            <w:right w:w="108" w:type="dxa"/>
          </w:tblCellMar>
        </w:tblPrEx>
        <w:trPr>
          <w:trHeight w:val="455" w:hRule="atLeast"/>
        </w:trPr>
        <w:tc>
          <w:tcPr>
            <w:tcW w:w="1005" w:type="dxa"/>
            <w:tcBorders>
              <w:top w:val="nil"/>
              <w:left w:val="single" w:color="auto" w:sz="4" w:space="0"/>
              <w:bottom w:val="single" w:color="auto" w:sz="4" w:space="0"/>
              <w:right w:val="single" w:color="auto" w:sz="4" w:space="0"/>
            </w:tcBorders>
            <w:shd w:val="clear" w:color="auto" w:fill="auto"/>
            <w:noWrap/>
            <w:vAlign w:val="center"/>
          </w:tcPr>
          <w:p>
            <w:r>
              <w:rPr>
                <w:rFonts w:hint="eastAsia"/>
              </w:rPr>
              <w:t>15</w:t>
            </w:r>
          </w:p>
        </w:tc>
        <w:tc>
          <w:tcPr>
            <w:tcW w:w="1433" w:type="dxa"/>
            <w:tcBorders>
              <w:top w:val="nil"/>
              <w:left w:val="nil"/>
              <w:bottom w:val="single" w:color="auto" w:sz="4" w:space="0"/>
              <w:right w:val="single" w:color="auto" w:sz="4" w:space="0"/>
            </w:tcBorders>
            <w:shd w:val="clear" w:color="auto" w:fill="auto"/>
            <w:noWrap/>
            <w:vAlign w:val="center"/>
          </w:tcPr>
          <w:p>
            <w:r>
              <w:rPr>
                <w:rFonts w:hint="eastAsia"/>
              </w:rPr>
              <w:t>东升路</w:t>
            </w:r>
          </w:p>
        </w:tc>
        <w:tc>
          <w:tcPr>
            <w:tcW w:w="3701" w:type="dxa"/>
            <w:tcBorders>
              <w:top w:val="nil"/>
              <w:left w:val="nil"/>
              <w:bottom w:val="single" w:color="auto" w:sz="4" w:space="0"/>
              <w:right w:val="single" w:color="auto" w:sz="4" w:space="0"/>
            </w:tcBorders>
            <w:shd w:val="clear" w:color="auto" w:fill="auto"/>
            <w:noWrap/>
            <w:vAlign w:val="center"/>
          </w:tcPr>
          <w:p>
            <w:r>
              <w:rPr>
                <w:rFonts w:hint="eastAsia"/>
              </w:rPr>
              <w:t>人民东路-新环路</w:t>
            </w:r>
          </w:p>
        </w:tc>
        <w:tc>
          <w:tcPr>
            <w:tcW w:w="1511" w:type="dxa"/>
            <w:tcBorders>
              <w:top w:val="nil"/>
              <w:left w:val="nil"/>
              <w:bottom w:val="single" w:color="auto" w:sz="4" w:space="0"/>
              <w:right w:val="single" w:color="auto" w:sz="4" w:space="0"/>
            </w:tcBorders>
            <w:shd w:val="clear" w:color="auto" w:fill="auto"/>
            <w:noWrap/>
            <w:vAlign w:val="center"/>
          </w:tcPr>
          <w:p>
            <w:r>
              <w:rPr>
                <w:rFonts w:hint="eastAsia"/>
              </w:rPr>
              <w:t>912</w:t>
            </w:r>
          </w:p>
        </w:tc>
        <w:tc>
          <w:tcPr>
            <w:tcW w:w="1005" w:type="dxa"/>
            <w:tcBorders>
              <w:top w:val="nil"/>
              <w:left w:val="nil"/>
              <w:bottom w:val="single" w:color="auto" w:sz="4" w:space="0"/>
              <w:right w:val="single" w:color="auto" w:sz="4" w:space="0"/>
            </w:tcBorders>
            <w:shd w:val="clear" w:color="auto" w:fill="auto"/>
            <w:noWrap/>
            <w:vAlign w:val="center"/>
          </w:tcPr>
          <w:p>
            <w:r>
              <w:rPr>
                <w:rFonts w:hint="eastAsia"/>
              </w:rPr>
              <w:t>112</w:t>
            </w:r>
          </w:p>
        </w:tc>
      </w:tr>
      <w:tr>
        <w:tblPrEx>
          <w:tblCellMar>
            <w:top w:w="0" w:type="dxa"/>
            <w:left w:w="108" w:type="dxa"/>
            <w:bottom w:w="0" w:type="dxa"/>
            <w:right w:w="108" w:type="dxa"/>
          </w:tblCellMar>
        </w:tblPrEx>
        <w:trPr>
          <w:trHeight w:val="455" w:hRule="atLeast"/>
        </w:trPr>
        <w:tc>
          <w:tcPr>
            <w:tcW w:w="1005" w:type="dxa"/>
            <w:tcBorders>
              <w:top w:val="nil"/>
              <w:left w:val="single" w:color="auto" w:sz="4" w:space="0"/>
              <w:bottom w:val="single" w:color="auto" w:sz="4" w:space="0"/>
              <w:right w:val="single" w:color="auto" w:sz="4" w:space="0"/>
            </w:tcBorders>
            <w:shd w:val="clear" w:color="auto" w:fill="auto"/>
            <w:noWrap/>
            <w:vAlign w:val="center"/>
          </w:tcPr>
          <w:p>
            <w:r>
              <w:rPr>
                <w:rFonts w:hint="eastAsia"/>
              </w:rPr>
              <w:t>16</w:t>
            </w:r>
          </w:p>
        </w:tc>
        <w:tc>
          <w:tcPr>
            <w:tcW w:w="1433" w:type="dxa"/>
            <w:tcBorders>
              <w:top w:val="nil"/>
              <w:left w:val="nil"/>
              <w:bottom w:val="single" w:color="auto" w:sz="4" w:space="0"/>
              <w:right w:val="single" w:color="auto" w:sz="4" w:space="0"/>
            </w:tcBorders>
            <w:shd w:val="clear" w:color="auto" w:fill="auto"/>
            <w:noWrap/>
            <w:vAlign w:val="center"/>
          </w:tcPr>
          <w:p>
            <w:r>
              <w:rPr>
                <w:rFonts w:hint="eastAsia"/>
              </w:rPr>
              <w:t>永安路</w:t>
            </w:r>
          </w:p>
        </w:tc>
        <w:tc>
          <w:tcPr>
            <w:tcW w:w="3701" w:type="dxa"/>
            <w:tcBorders>
              <w:top w:val="nil"/>
              <w:left w:val="nil"/>
              <w:bottom w:val="single" w:color="auto" w:sz="4" w:space="0"/>
              <w:right w:val="single" w:color="auto" w:sz="4" w:space="0"/>
            </w:tcBorders>
            <w:shd w:val="clear" w:color="auto" w:fill="auto"/>
            <w:noWrap/>
            <w:vAlign w:val="center"/>
          </w:tcPr>
          <w:p>
            <w:r>
              <w:rPr>
                <w:rFonts w:hint="eastAsia"/>
              </w:rPr>
              <w:t>人民路-南兴路</w:t>
            </w:r>
          </w:p>
        </w:tc>
        <w:tc>
          <w:tcPr>
            <w:tcW w:w="1511" w:type="dxa"/>
            <w:tcBorders>
              <w:top w:val="nil"/>
              <w:left w:val="nil"/>
              <w:bottom w:val="single" w:color="auto" w:sz="4" w:space="0"/>
              <w:right w:val="single" w:color="auto" w:sz="4" w:space="0"/>
            </w:tcBorders>
            <w:shd w:val="clear" w:color="auto" w:fill="auto"/>
            <w:noWrap/>
            <w:vAlign w:val="center"/>
          </w:tcPr>
          <w:p>
            <w:r>
              <w:rPr>
                <w:rFonts w:hint="eastAsia"/>
              </w:rPr>
              <w:t>325</w:t>
            </w:r>
          </w:p>
        </w:tc>
        <w:tc>
          <w:tcPr>
            <w:tcW w:w="1005" w:type="dxa"/>
            <w:tcBorders>
              <w:top w:val="nil"/>
              <w:left w:val="nil"/>
              <w:bottom w:val="single" w:color="auto" w:sz="4" w:space="0"/>
              <w:right w:val="single" w:color="auto" w:sz="4" w:space="0"/>
            </w:tcBorders>
            <w:shd w:val="clear" w:color="auto" w:fill="auto"/>
            <w:noWrap/>
            <w:vAlign w:val="center"/>
          </w:tcPr>
          <w:p>
            <w:r>
              <w:rPr>
                <w:rFonts w:hint="eastAsia"/>
              </w:rPr>
              <w:t>43</w:t>
            </w:r>
          </w:p>
        </w:tc>
      </w:tr>
      <w:tr>
        <w:tblPrEx>
          <w:tblCellMar>
            <w:top w:w="0" w:type="dxa"/>
            <w:left w:w="108" w:type="dxa"/>
            <w:bottom w:w="0" w:type="dxa"/>
            <w:right w:w="108" w:type="dxa"/>
          </w:tblCellMar>
        </w:tblPrEx>
        <w:trPr>
          <w:trHeight w:val="455" w:hRule="atLeast"/>
        </w:trPr>
        <w:tc>
          <w:tcPr>
            <w:tcW w:w="1005" w:type="dxa"/>
            <w:tcBorders>
              <w:top w:val="nil"/>
              <w:left w:val="single" w:color="auto" w:sz="4" w:space="0"/>
              <w:bottom w:val="single" w:color="auto" w:sz="4" w:space="0"/>
              <w:right w:val="single" w:color="auto" w:sz="4" w:space="0"/>
            </w:tcBorders>
            <w:shd w:val="clear" w:color="auto" w:fill="auto"/>
            <w:noWrap/>
            <w:vAlign w:val="center"/>
          </w:tcPr>
          <w:p>
            <w:r>
              <w:rPr>
                <w:rFonts w:hint="eastAsia"/>
              </w:rPr>
              <w:t>17</w:t>
            </w:r>
          </w:p>
        </w:tc>
        <w:tc>
          <w:tcPr>
            <w:tcW w:w="1433" w:type="dxa"/>
            <w:tcBorders>
              <w:top w:val="nil"/>
              <w:left w:val="nil"/>
              <w:bottom w:val="single" w:color="auto" w:sz="4" w:space="0"/>
              <w:right w:val="single" w:color="auto" w:sz="4" w:space="0"/>
            </w:tcBorders>
            <w:shd w:val="clear" w:color="auto" w:fill="auto"/>
            <w:noWrap/>
            <w:vAlign w:val="center"/>
          </w:tcPr>
          <w:p>
            <w:r>
              <w:rPr>
                <w:rFonts w:hint="eastAsia"/>
              </w:rPr>
              <w:t>广场西路</w:t>
            </w:r>
          </w:p>
        </w:tc>
        <w:tc>
          <w:tcPr>
            <w:tcW w:w="3701" w:type="dxa"/>
            <w:tcBorders>
              <w:top w:val="nil"/>
              <w:left w:val="nil"/>
              <w:bottom w:val="single" w:color="auto" w:sz="4" w:space="0"/>
              <w:right w:val="single" w:color="auto" w:sz="4" w:space="0"/>
            </w:tcBorders>
            <w:shd w:val="clear" w:color="auto" w:fill="auto"/>
            <w:noWrap/>
            <w:vAlign w:val="center"/>
          </w:tcPr>
          <w:p>
            <w:r>
              <w:rPr>
                <w:rFonts w:hint="eastAsia"/>
              </w:rPr>
              <w:t>人民东路-新环路</w:t>
            </w:r>
          </w:p>
        </w:tc>
        <w:tc>
          <w:tcPr>
            <w:tcW w:w="1511" w:type="dxa"/>
            <w:tcBorders>
              <w:top w:val="nil"/>
              <w:left w:val="nil"/>
              <w:bottom w:val="single" w:color="auto" w:sz="4" w:space="0"/>
              <w:right w:val="single" w:color="auto" w:sz="4" w:space="0"/>
            </w:tcBorders>
            <w:shd w:val="clear" w:color="auto" w:fill="auto"/>
            <w:noWrap/>
            <w:vAlign w:val="center"/>
          </w:tcPr>
          <w:p>
            <w:r>
              <w:rPr>
                <w:rFonts w:hint="eastAsia"/>
              </w:rPr>
              <w:t>180</w:t>
            </w:r>
          </w:p>
        </w:tc>
        <w:tc>
          <w:tcPr>
            <w:tcW w:w="1005" w:type="dxa"/>
            <w:tcBorders>
              <w:top w:val="nil"/>
              <w:left w:val="nil"/>
              <w:bottom w:val="single" w:color="auto" w:sz="4" w:space="0"/>
              <w:right w:val="single" w:color="auto" w:sz="4" w:space="0"/>
            </w:tcBorders>
            <w:shd w:val="clear" w:color="auto" w:fill="auto"/>
            <w:noWrap/>
            <w:vAlign w:val="center"/>
          </w:tcPr>
          <w:p>
            <w:r>
              <w:rPr>
                <w:rFonts w:hint="eastAsia"/>
              </w:rPr>
              <w:t>19</w:t>
            </w:r>
          </w:p>
        </w:tc>
      </w:tr>
      <w:tr>
        <w:tblPrEx>
          <w:tblCellMar>
            <w:top w:w="0" w:type="dxa"/>
            <w:left w:w="108" w:type="dxa"/>
            <w:bottom w:w="0" w:type="dxa"/>
            <w:right w:w="108" w:type="dxa"/>
          </w:tblCellMar>
        </w:tblPrEx>
        <w:trPr>
          <w:trHeight w:val="455" w:hRule="atLeast"/>
        </w:trPr>
        <w:tc>
          <w:tcPr>
            <w:tcW w:w="1005" w:type="dxa"/>
            <w:tcBorders>
              <w:top w:val="nil"/>
              <w:left w:val="single" w:color="auto" w:sz="4" w:space="0"/>
              <w:bottom w:val="single" w:color="auto" w:sz="4" w:space="0"/>
              <w:right w:val="single" w:color="auto" w:sz="4" w:space="0"/>
            </w:tcBorders>
            <w:shd w:val="clear" w:color="auto" w:fill="auto"/>
            <w:noWrap/>
            <w:vAlign w:val="center"/>
          </w:tcPr>
          <w:p>
            <w:r>
              <w:rPr>
                <w:rFonts w:hint="eastAsia"/>
              </w:rPr>
              <w:t>18</w:t>
            </w:r>
          </w:p>
        </w:tc>
        <w:tc>
          <w:tcPr>
            <w:tcW w:w="1433" w:type="dxa"/>
            <w:tcBorders>
              <w:top w:val="nil"/>
              <w:left w:val="nil"/>
              <w:bottom w:val="single" w:color="auto" w:sz="4" w:space="0"/>
              <w:right w:val="single" w:color="auto" w:sz="4" w:space="0"/>
            </w:tcBorders>
            <w:shd w:val="clear" w:color="auto" w:fill="auto"/>
            <w:noWrap/>
            <w:vAlign w:val="center"/>
          </w:tcPr>
          <w:p>
            <w:r>
              <w:rPr>
                <w:rFonts w:hint="eastAsia"/>
              </w:rPr>
              <w:t>银行路</w:t>
            </w:r>
          </w:p>
        </w:tc>
        <w:tc>
          <w:tcPr>
            <w:tcW w:w="3701" w:type="dxa"/>
            <w:tcBorders>
              <w:top w:val="nil"/>
              <w:left w:val="nil"/>
              <w:bottom w:val="single" w:color="auto" w:sz="4" w:space="0"/>
              <w:right w:val="single" w:color="auto" w:sz="4" w:space="0"/>
            </w:tcBorders>
            <w:shd w:val="clear" w:color="auto" w:fill="auto"/>
            <w:noWrap/>
            <w:vAlign w:val="center"/>
          </w:tcPr>
          <w:p>
            <w:r>
              <w:rPr>
                <w:rFonts w:hint="eastAsia"/>
              </w:rPr>
              <w:t>人民路-前进路</w:t>
            </w:r>
          </w:p>
        </w:tc>
        <w:tc>
          <w:tcPr>
            <w:tcW w:w="1511" w:type="dxa"/>
            <w:tcBorders>
              <w:top w:val="nil"/>
              <w:left w:val="nil"/>
              <w:bottom w:val="single" w:color="auto" w:sz="4" w:space="0"/>
              <w:right w:val="single" w:color="auto" w:sz="4" w:space="0"/>
            </w:tcBorders>
            <w:shd w:val="clear" w:color="auto" w:fill="auto"/>
            <w:noWrap/>
            <w:vAlign w:val="center"/>
          </w:tcPr>
          <w:p>
            <w:r>
              <w:rPr>
                <w:rFonts w:hint="eastAsia"/>
              </w:rPr>
              <w:t>267</w:t>
            </w:r>
          </w:p>
        </w:tc>
        <w:tc>
          <w:tcPr>
            <w:tcW w:w="1005" w:type="dxa"/>
            <w:tcBorders>
              <w:top w:val="nil"/>
              <w:left w:val="nil"/>
              <w:bottom w:val="single" w:color="auto" w:sz="4" w:space="0"/>
              <w:right w:val="single" w:color="auto" w:sz="4" w:space="0"/>
            </w:tcBorders>
            <w:shd w:val="clear" w:color="auto" w:fill="auto"/>
            <w:noWrap/>
            <w:vAlign w:val="center"/>
          </w:tcPr>
          <w:p>
            <w:r>
              <w:rPr>
                <w:rFonts w:hint="eastAsia"/>
              </w:rPr>
              <w:t>17</w:t>
            </w:r>
          </w:p>
        </w:tc>
      </w:tr>
      <w:tr>
        <w:tblPrEx>
          <w:tblCellMar>
            <w:top w:w="0" w:type="dxa"/>
            <w:left w:w="108" w:type="dxa"/>
            <w:bottom w:w="0" w:type="dxa"/>
            <w:right w:w="108" w:type="dxa"/>
          </w:tblCellMar>
        </w:tblPrEx>
        <w:trPr>
          <w:trHeight w:val="455" w:hRule="atLeast"/>
        </w:trPr>
        <w:tc>
          <w:tcPr>
            <w:tcW w:w="1005" w:type="dxa"/>
            <w:tcBorders>
              <w:top w:val="nil"/>
              <w:left w:val="single" w:color="auto" w:sz="4" w:space="0"/>
              <w:bottom w:val="single" w:color="auto" w:sz="4" w:space="0"/>
              <w:right w:val="single" w:color="auto" w:sz="4" w:space="0"/>
            </w:tcBorders>
            <w:shd w:val="clear" w:color="auto" w:fill="auto"/>
            <w:noWrap/>
            <w:vAlign w:val="center"/>
          </w:tcPr>
          <w:p>
            <w:r>
              <w:rPr>
                <w:rFonts w:hint="eastAsia"/>
              </w:rPr>
              <w:t>19</w:t>
            </w:r>
          </w:p>
        </w:tc>
        <w:tc>
          <w:tcPr>
            <w:tcW w:w="1433" w:type="dxa"/>
            <w:tcBorders>
              <w:top w:val="nil"/>
              <w:left w:val="nil"/>
              <w:bottom w:val="single" w:color="auto" w:sz="4" w:space="0"/>
              <w:right w:val="single" w:color="auto" w:sz="4" w:space="0"/>
            </w:tcBorders>
            <w:shd w:val="clear" w:color="auto" w:fill="auto"/>
            <w:noWrap/>
            <w:vAlign w:val="center"/>
          </w:tcPr>
          <w:p>
            <w:r>
              <w:rPr>
                <w:rFonts w:hint="eastAsia"/>
              </w:rPr>
              <w:t>义学路</w:t>
            </w:r>
          </w:p>
        </w:tc>
        <w:tc>
          <w:tcPr>
            <w:tcW w:w="3701" w:type="dxa"/>
            <w:tcBorders>
              <w:top w:val="nil"/>
              <w:left w:val="nil"/>
              <w:bottom w:val="single" w:color="auto" w:sz="4" w:space="0"/>
              <w:right w:val="single" w:color="auto" w:sz="4" w:space="0"/>
            </w:tcBorders>
            <w:shd w:val="clear" w:color="auto" w:fill="auto"/>
            <w:noWrap/>
            <w:vAlign w:val="center"/>
          </w:tcPr>
          <w:p>
            <w:r>
              <w:rPr>
                <w:rFonts w:hint="eastAsia"/>
              </w:rPr>
              <w:t>永安路-中山二巷</w:t>
            </w:r>
          </w:p>
        </w:tc>
        <w:tc>
          <w:tcPr>
            <w:tcW w:w="1511" w:type="dxa"/>
            <w:tcBorders>
              <w:top w:val="nil"/>
              <w:left w:val="nil"/>
              <w:bottom w:val="single" w:color="auto" w:sz="4" w:space="0"/>
              <w:right w:val="single" w:color="auto" w:sz="4" w:space="0"/>
            </w:tcBorders>
            <w:shd w:val="clear" w:color="auto" w:fill="auto"/>
            <w:noWrap/>
            <w:vAlign w:val="center"/>
          </w:tcPr>
          <w:p>
            <w:r>
              <w:rPr>
                <w:rFonts w:hint="eastAsia"/>
              </w:rPr>
              <w:t>307</w:t>
            </w:r>
          </w:p>
        </w:tc>
        <w:tc>
          <w:tcPr>
            <w:tcW w:w="1005" w:type="dxa"/>
            <w:tcBorders>
              <w:top w:val="nil"/>
              <w:left w:val="nil"/>
              <w:bottom w:val="single" w:color="auto" w:sz="4" w:space="0"/>
              <w:right w:val="single" w:color="auto" w:sz="4" w:space="0"/>
            </w:tcBorders>
            <w:shd w:val="clear" w:color="auto" w:fill="auto"/>
            <w:noWrap/>
            <w:vAlign w:val="center"/>
          </w:tcPr>
          <w:p>
            <w:r>
              <w:rPr>
                <w:rFonts w:hint="eastAsia"/>
              </w:rPr>
              <w:t>30</w:t>
            </w:r>
          </w:p>
        </w:tc>
      </w:tr>
      <w:tr>
        <w:tblPrEx>
          <w:tblCellMar>
            <w:top w:w="0" w:type="dxa"/>
            <w:left w:w="108" w:type="dxa"/>
            <w:bottom w:w="0" w:type="dxa"/>
            <w:right w:w="108" w:type="dxa"/>
          </w:tblCellMar>
        </w:tblPrEx>
        <w:trPr>
          <w:trHeight w:val="455" w:hRule="atLeast"/>
        </w:trPr>
        <w:tc>
          <w:tcPr>
            <w:tcW w:w="1005" w:type="dxa"/>
            <w:tcBorders>
              <w:top w:val="nil"/>
              <w:left w:val="single" w:color="auto" w:sz="4" w:space="0"/>
              <w:bottom w:val="single" w:color="auto" w:sz="4" w:space="0"/>
              <w:right w:val="single" w:color="auto" w:sz="4" w:space="0"/>
            </w:tcBorders>
            <w:shd w:val="clear" w:color="auto" w:fill="auto"/>
            <w:noWrap/>
            <w:vAlign w:val="center"/>
          </w:tcPr>
          <w:p>
            <w:r>
              <w:rPr>
                <w:rFonts w:hint="eastAsia"/>
              </w:rPr>
              <w:t>20</w:t>
            </w:r>
          </w:p>
        </w:tc>
        <w:tc>
          <w:tcPr>
            <w:tcW w:w="1433" w:type="dxa"/>
            <w:tcBorders>
              <w:top w:val="nil"/>
              <w:left w:val="nil"/>
              <w:bottom w:val="single" w:color="auto" w:sz="4" w:space="0"/>
              <w:right w:val="single" w:color="auto" w:sz="4" w:space="0"/>
            </w:tcBorders>
            <w:shd w:val="clear" w:color="auto" w:fill="auto"/>
            <w:noWrap/>
            <w:vAlign w:val="center"/>
          </w:tcPr>
          <w:p>
            <w:r>
              <w:rPr>
                <w:rFonts w:hint="eastAsia"/>
              </w:rPr>
              <w:t>崇德路</w:t>
            </w:r>
          </w:p>
        </w:tc>
        <w:tc>
          <w:tcPr>
            <w:tcW w:w="3701" w:type="dxa"/>
            <w:tcBorders>
              <w:top w:val="nil"/>
              <w:left w:val="nil"/>
              <w:bottom w:val="single" w:color="auto" w:sz="4" w:space="0"/>
              <w:right w:val="single" w:color="auto" w:sz="4" w:space="0"/>
            </w:tcBorders>
            <w:shd w:val="clear" w:color="auto" w:fill="auto"/>
            <w:noWrap/>
            <w:vAlign w:val="center"/>
          </w:tcPr>
          <w:p>
            <w:r>
              <w:rPr>
                <w:rFonts w:hint="eastAsia"/>
              </w:rPr>
              <w:t>南兴路-前进路</w:t>
            </w:r>
          </w:p>
        </w:tc>
        <w:tc>
          <w:tcPr>
            <w:tcW w:w="1511" w:type="dxa"/>
            <w:tcBorders>
              <w:top w:val="nil"/>
              <w:left w:val="nil"/>
              <w:bottom w:val="single" w:color="auto" w:sz="4" w:space="0"/>
              <w:right w:val="single" w:color="auto" w:sz="4" w:space="0"/>
            </w:tcBorders>
            <w:shd w:val="clear" w:color="auto" w:fill="auto"/>
            <w:noWrap/>
            <w:vAlign w:val="center"/>
          </w:tcPr>
          <w:p>
            <w:r>
              <w:rPr>
                <w:rFonts w:hint="eastAsia"/>
              </w:rPr>
              <w:t>235</w:t>
            </w:r>
          </w:p>
        </w:tc>
        <w:tc>
          <w:tcPr>
            <w:tcW w:w="1005" w:type="dxa"/>
            <w:tcBorders>
              <w:top w:val="nil"/>
              <w:left w:val="nil"/>
              <w:bottom w:val="single" w:color="auto" w:sz="4" w:space="0"/>
              <w:right w:val="single" w:color="auto" w:sz="4" w:space="0"/>
            </w:tcBorders>
            <w:shd w:val="clear" w:color="auto" w:fill="auto"/>
            <w:noWrap/>
            <w:vAlign w:val="center"/>
          </w:tcPr>
          <w:p>
            <w:r>
              <w:rPr>
                <w:rFonts w:hint="eastAsia"/>
              </w:rPr>
              <w:t>31</w:t>
            </w:r>
          </w:p>
        </w:tc>
      </w:tr>
      <w:tr>
        <w:tblPrEx>
          <w:tblCellMar>
            <w:top w:w="0" w:type="dxa"/>
            <w:left w:w="108" w:type="dxa"/>
            <w:bottom w:w="0" w:type="dxa"/>
            <w:right w:w="108" w:type="dxa"/>
          </w:tblCellMar>
        </w:tblPrEx>
        <w:trPr>
          <w:trHeight w:val="455" w:hRule="atLeast"/>
        </w:trPr>
        <w:tc>
          <w:tcPr>
            <w:tcW w:w="1005" w:type="dxa"/>
            <w:tcBorders>
              <w:top w:val="nil"/>
              <w:left w:val="single" w:color="auto" w:sz="4" w:space="0"/>
              <w:bottom w:val="single" w:color="auto" w:sz="4" w:space="0"/>
              <w:right w:val="single" w:color="auto" w:sz="4" w:space="0"/>
            </w:tcBorders>
            <w:shd w:val="clear" w:color="auto" w:fill="auto"/>
            <w:noWrap/>
            <w:vAlign w:val="center"/>
          </w:tcPr>
          <w:p>
            <w:r>
              <w:rPr>
                <w:rFonts w:hint="eastAsia"/>
              </w:rPr>
              <w:t>21</w:t>
            </w:r>
          </w:p>
        </w:tc>
        <w:tc>
          <w:tcPr>
            <w:tcW w:w="1433" w:type="dxa"/>
            <w:tcBorders>
              <w:top w:val="nil"/>
              <w:left w:val="nil"/>
              <w:bottom w:val="single" w:color="auto" w:sz="4" w:space="0"/>
              <w:right w:val="single" w:color="auto" w:sz="4" w:space="0"/>
            </w:tcBorders>
            <w:shd w:val="clear" w:color="auto" w:fill="auto"/>
            <w:noWrap/>
            <w:vAlign w:val="center"/>
          </w:tcPr>
          <w:p>
            <w:r>
              <w:rPr>
                <w:rFonts w:hint="eastAsia"/>
              </w:rPr>
              <w:t>小范街</w:t>
            </w:r>
          </w:p>
        </w:tc>
        <w:tc>
          <w:tcPr>
            <w:tcW w:w="3701" w:type="dxa"/>
            <w:tcBorders>
              <w:top w:val="nil"/>
              <w:left w:val="nil"/>
              <w:bottom w:val="single" w:color="auto" w:sz="4" w:space="0"/>
              <w:right w:val="single" w:color="auto" w:sz="4" w:space="0"/>
            </w:tcBorders>
            <w:shd w:val="clear" w:color="auto" w:fill="auto"/>
            <w:noWrap/>
            <w:vAlign w:val="center"/>
          </w:tcPr>
          <w:p>
            <w:r>
              <w:rPr>
                <w:rFonts w:hint="eastAsia"/>
              </w:rPr>
              <w:t>人民路-经华路</w:t>
            </w:r>
          </w:p>
        </w:tc>
        <w:tc>
          <w:tcPr>
            <w:tcW w:w="1511" w:type="dxa"/>
            <w:tcBorders>
              <w:top w:val="nil"/>
              <w:left w:val="nil"/>
              <w:bottom w:val="single" w:color="auto" w:sz="4" w:space="0"/>
              <w:right w:val="single" w:color="auto" w:sz="4" w:space="0"/>
            </w:tcBorders>
            <w:shd w:val="clear" w:color="auto" w:fill="auto"/>
            <w:noWrap/>
            <w:vAlign w:val="center"/>
          </w:tcPr>
          <w:p>
            <w:r>
              <w:rPr>
                <w:rFonts w:hint="eastAsia"/>
              </w:rPr>
              <w:t>768</w:t>
            </w:r>
          </w:p>
        </w:tc>
        <w:tc>
          <w:tcPr>
            <w:tcW w:w="1005" w:type="dxa"/>
            <w:tcBorders>
              <w:top w:val="nil"/>
              <w:left w:val="nil"/>
              <w:bottom w:val="single" w:color="auto" w:sz="4" w:space="0"/>
              <w:right w:val="single" w:color="auto" w:sz="4" w:space="0"/>
            </w:tcBorders>
            <w:shd w:val="clear" w:color="auto" w:fill="auto"/>
            <w:noWrap/>
            <w:vAlign w:val="center"/>
          </w:tcPr>
          <w:p>
            <w:r>
              <w:rPr>
                <w:rFonts w:hint="eastAsia"/>
              </w:rPr>
              <w:t>106</w:t>
            </w:r>
          </w:p>
        </w:tc>
      </w:tr>
      <w:tr>
        <w:tblPrEx>
          <w:tblCellMar>
            <w:top w:w="0" w:type="dxa"/>
            <w:left w:w="108" w:type="dxa"/>
            <w:bottom w:w="0" w:type="dxa"/>
            <w:right w:w="108" w:type="dxa"/>
          </w:tblCellMar>
        </w:tblPrEx>
        <w:trPr>
          <w:trHeight w:val="455" w:hRule="atLeast"/>
        </w:trPr>
        <w:tc>
          <w:tcPr>
            <w:tcW w:w="1005" w:type="dxa"/>
            <w:tcBorders>
              <w:top w:val="nil"/>
              <w:left w:val="single" w:color="auto" w:sz="4" w:space="0"/>
              <w:bottom w:val="single" w:color="auto" w:sz="4" w:space="0"/>
              <w:right w:val="single" w:color="auto" w:sz="4" w:space="0"/>
            </w:tcBorders>
            <w:shd w:val="clear" w:color="auto" w:fill="auto"/>
            <w:noWrap/>
            <w:vAlign w:val="center"/>
          </w:tcPr>
          <w:p>
            <w:r>
              <w:rPr>
                <w:rFonts w:hint="eastAsia"/>
              </w:rPr>
              <w:t>22</w:t>
            </w:r>
          </w:p>
        </w:tc>
        <w:tc>
          <w:tcPr>
            <w:tcW w:w="1433" w:type="dxa"/>
            <w:tcBorders>
              <w:top w:val="nil"/>
              <w:left w:val="nil"/>
              <w:bottom w:val="single" w:color="auto" w:sz="4" w:space="0"/>
              <w:right w:val="single" w:color="auto" w:sz="4" w:space="0"/>
            </w:tcBorders>
            <w:shd w:val="clear" w:color="auto" w:fill="auto"/>
            <w:noWrap/>
            <w:vAlign w:val="center"/>
          </w:tcPr>
          <w:p>
            <w:r>
              <w:rPr>
                <w:rFonts w:hint="eastAsia"/>
              </w:rPr>
              <w:t>隔山街</w:t>
            </w:r>
          </w:p>
        </w:tc>
        <w:tc>
          <w:tcPr>
            <w:tcW w:w="3701" w:type="dxa"/>
            <w:tcBorders>
              <w:top w:val="nil"/>
              <w:left w:val="nil"/>
              <w:bottom w:val="single" w:color="auto" w:sz="4" w:space="0"/>
              <w:right w:val="single" w:color="auto" w:sz="4" w:space="0"/>
            </w:tcBorders>
            <w:shd w:val="clear" w:color="auto" w:fill="auto"/>
            <w:noWrap/>
            <w:vAlign w:val="center"/>
          </w:tcPr>
          <w:p>
            <w:r>
              <w:rPr>
                <w:rFonts w:hint="eastAsia"/>
              </w:rPr>
              <w:t>人民路-文明路（含四坊路)</w:t>
            </w:r>
          </w:p>
        </w:tc>
        <w:tc>
          <w:tcPr>
            <w:tcW w:w="1511" w:type="dxa"/>
            <w:tcBorders>
              <w:top w:val="nil"/>
              <w:left w:val="nil"/>
              <w:bottom w:val="single" w:color="auto" w:sz="4" w:space="0"/>
              <w:right w:val="single" w:color="auto" w:sz="4" w:space="0"/>
            </w:tcBorders>
            <w:shd w:val="clear" w:color="auto" w:fill="auto"/>
            <w:noWrap/>
            <w:vAlign w:val="center"/>
          </w:tcPr>
          <w:p>
            <w:r>
              <w:rPr>
                <w:rFonts w:hint="eastAsia"/>
              </w:rPr>
              <w:t>1278</w:t>
            </w:r>
          </w:p>
        </w:tc>
        <w:tc>
          <w:tcPr>
            <w:tcW w:w="1005" w:type="dxa"/>
            <w:tcBorders>
              <w:top w:val="nil"/>
              <w:left w:val="nil"/>
              <w:bottom w:val="single" w:color="auto" w:sz="4" w:space="0"/>
              <w:right w:val="single" w:color="auto" w:sz="4" w:space="0"/>
            </w:tcBorders>
            <w:shd w:val="clear" w:color="auto" w:fill="auto"/>
            <w:noWrap/>
            <w:vAlign w:val="center"/>
          </w:tcPr>
          <w:p>
            <w:r>
              <w:rPr>
                <w:rFonts w:hint="eastAsia"/>
              </w:rPr>
              <w:t>137</w:t>
            </w:r>
          </w:p>
        </w:tc>
      </w:tr>
      <w:tr>
        <w:tblPrEx>
          <w:tblCellMar>
            <w:top w:w="0" w:type="dxa"/>
            <w:left w:w="108" w:type="dxa"/>
            <w:bottom w:w="0" w:type="dxa"/>
            <w:right w:w="108" w:type="dxa"/>
          </w:tblCellMar>
        </w:tblPrEx>
        <w:trPr>
          <w:trHeight w:val="455" w:hRule="atLeast"/>
        </w:trPr>
        <w:tc>
          <w:tcPr>
            <w:tcW w:w="7650"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r>
              <w:rPr>
                <w:rFonts w:hint="eastAsia"/>
              </w:rPr>
              <w:t>首期泊位数合计</w:t>
            </w:r>
          </w:p>
        </w:tc>
        <w:tc>
          <w:tcPr>
            <w:tcW w:w="1005" w:type="dxa"/>
            <w:tcBorders>
              <w:top w:val="nil"/>
              <w:left w:val="nil"/>
              <w:bottom w:val="single" w:color="auto" w:sz="4" w:space="0"/>
              <w:right w:val="single" w:color="auto" w:sz="4" w:space="0"/>
            </w:tcBorders>
            <w:shd w:val="clear" w:color="auto" w:fill="auto"/>
            <w:noWrap/>
            <w:vAlign w:val="center"/>
          </w:tcPr>
          <w:p>
            <w:r>
              <w:rPr>
                <w:rFonts w:hint="eastAsia"/>
              </w:rPr>
              <w:t>2481</w:t>
            </w:r>
          </w:p>
        </w:tc>
      </w:tr>
    </w:tbl>
    <w:p>
      <w:pPr>
        <w:spacing w:line="360" w:lineRule="auto"/>
        <w:ind w:firstLine="480" w:firstLineChars="200"/>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第一期改造停车位附图</w:t>
      </w:r>
    </w:p>
    <w:p>
      <w:pPr>
        <w:rPr>
          <w:rFonts w:ascii="Times New Roman" w:hAnsi="Times New Roman" w:eastAsia="微软雅黑" w:cs="Times New Roman"/>
          <w:color w:val="000000"/>
          <w:kern w:val="0"/>
          <w:sz w:val="24"/>
          <w:szCs w:val="24"/>
        </w:rPr>
      </w:pPr>
      <w:r>
        <w:drawing>
          <wp:inline distT="0" distB="0" distL="0" distR="0">
            <wp:extent cx="5731510" cy="4027170"/>
            <wp:effectExtent l="0" t="0" r="0" b="0"/>
            <wp:docPr id="1"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地图&#10;&#10;描述已自动生成"/>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731510" cy="4027170"/>
                    </a:xfrm>
                    <a:prstGeom prst="rect">
                      <a:avLst/>
                    </a:prstGeom>
                  </pic:spPr>
                </pic:pic>
              </a:graphicData>
            </a:graphic>
          </wp:inline>
        </w:drawing>
      </w:r>
    </w:p>
    <w:p>
      <w:pPr>
        <w:spacing w:line="360" w:lineRule="auto"/>
        <w:ind w:firstLine="480" w:firstLineChars="200"/>
        <w:outlineLvl w:val="1"/>
        <w:rPr>
          <w:rFonts w:ascii="Times New Roman" w:hAnsi="Times New Roman" w:eastAsia="微软雅黑" w:cs="Times New Roman"/>
          <w:color w:val="000000"/>
          <w:kern w:val="0"/>
          <w:sz w:val="24"/>
          <w:szCs w:val="24"/>
        </w:rPr>
      </w:pPr>
      <w:bookmarkStart w:id="12" w:name="_Toc75531146"/>
      <w:r>
        <w:rPr>
          <w:rFonts w:hint="eastAsia" w:ascii="Times New Roman" w:hAnsi="Times New Roman" w:eastAsia="微软雅黑" w:cs="Times New Roman"/>
          <w:color w:val="000000"/>
          <w:kern w:val="0"/>
          <w:sz w:val="24"/>
          <w:szCs w:val="24"/>
        </w:rPr>
        <w:t>二</w:t>
      </w:r>
      <w:r>
        <w:rPr>
          <w:rFonts w:ascii="Times New Roman" w:hAnsi="Times New Roman" w:eastAsia="微软雅黑" w:cs="Times New Roman"/>
          <w:color w:val="000000"/>
          <w:kern w:val="0"/>
          <w:sz w:val="24"/>
          <w:szCs w:val="24"/>
        </w:rPr>
        <w:t>、</w:t>
      </w:r>
      <w:r>
        <w:rPr>
          <w:rFonts w:hint="eastAsia" w:ascii="Times New Roman" w:hAnsi="Times New Roman" w:eastAsia="微软雅黑" w:cs="Times New Roman"/>
          <w:color w:val="000000"/>
          <w:kern w:val="0"/>
          <w:sz w:val="24"/>
          <w:szCs w:val="24"/>
        </w:rPr>
        <w:t>项目实施计划</w:t>
      </w:r>
      <w:bookmarkEnd w:id="12"/>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根据首期实施情况，将智慧路内泊位再向中心城区外围扩展；同时可通过平台的大数据分析，考虑优先在市政府、原图书馆附近建设公共停车场或立体车库，并把非物业管理小区、公共停车场、商业停车场、住宅小区停车场、机关事业单位停车场等纳入智慧停车运营平台实现“一张网”管理。</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因此，建议将城区所有公共停车服务统一纳入鹤山市智慧停车项目实施特许经营。在项目合同签订后两年内，城区所有道路智慧路内泊位</w:t>
      </w:r>
      <w:r>
        <w:rPr>
          <w:rFonts w:ascii="Times New Roman" w:hAnsi="Times New Roman" w:eastAsia="宋体" w:cs="Times New Roman"/>
          <w:color w:val="000000"/>
          <w:kern w:val="0"/>
          <w:sz w:val="24"/>
          <w:szCs w:val="24"/>
        </w:rPr>
        <w:t>64</w:t>
      </w:r>
      <w:r>
        <w:rPr>
          <w:rFonts w:hint="eastAsia" w:ascii="Times New Roman" w:hAnsi="Times New Roman" w:eastAsia="宋体" w:cs="Times New Roman"/>
          <w:color w:val="000000"/>
          <w:kern w:val="0"/>
          <w:sz w:val="24"/>
          <w:szCs w:val="24"/>
        </w:rPr>
        <w:t>50个必须全部建成并投入使用。</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两年内分三期实施，首期建议实施以市政府为中心的周边辐射区域，横向道路有新业路、新城路、前进路等，纵向道路有中山路、新华路、裕民路等，建设智慧路内泊位2481个，相关车位租金费用从智慧路内泊位正式投入使用起计算。后续随着城市发展，城区新增的路内泊位也统一纳入该特许经营合同实施范围。</w:t>
      </w:r>
    </w:p>
    <w:p>
      <w:pPr>
        <w:spacing w:line="360" w:lineRule="auto"/>
        <w:ind w:firstLine="480" w:firstLineChars="200"/>
        <w:outlineLvl w:val="1"/>
        <w:rPr>
          <w:rFonts w:ascii="Times New Roman" w:hAnsi="Times New Roman" w:eastAsia="微软雅黑" w:cs="Times New Roman"/>
          <w:color w:val="000000"/>
          <w:kern w:val="0"/>
          <w:sz w:val="24"/>
          <w:szCs w:val="24"/>
        </w:rPr>
      </w:pPr>
      <w:bookmarkStart w:id="13" w:name="_Toc75531147"/>
      <w:r>
        <w:rPr>
          <w:rFonts w:hint="eastAsia" w:ascii="Times New Roman" w:hAnsi="Times New Roman" w:eastAsia="微软雅黑" w:cs="Times New Roman"/>
          <w:color w:val="000000"/>
          <w:kern w:val="0"/>
          <w:sz w:val="24"/>
          <w:szCs w:val="24"/>
        </w:rPr>
        <w:t>三、特许经营权实施思路</w:t>
      </w:r>
      <w:bookmarkEnd w:id="13"/>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（1）同类项目运营模式比选分析</w:t>
      </w:r>
    </w:p>
    <w:p>
      <w:pPr>
        <w:spacing w:line="360" w:lineRule="auto"/>
        <w:ind w:firstLine="480" w:firstLineChars="200"/>
        <w:rPr>
          <w:rFonts w:ascii="宋体" w:hAnsi="宋体"/>
          <w:kern w:val="0"/>
          <w:sz w:val="24"/>
          <w:szCs w:val="24"/>
        </w:rPr>
      </w:pPr>
      <w:r>
        <w:rPr>
          <w:rFonts w:hint="eastAsia" w:ascii="宋体" w:hAnsi="宋体"/>
          <w:kern w:val="0"/>
          <w:sz w:val="24"/>
          <w:szCs w:val="24"/>
        </w:rPr>
        <w:t>模式一：国有公司自主经营。国有公司自身负责投资和运营。</w:t>
      </w:r>
    </w:p>
    <w:p>
      <w:pPr>
        <w:spacing w:line="360" w:lineRule="auto"/>
        <w:ind w:firstLine="480" w:firstLineChars="200"/>
        <w:rPr>
          <w:rFonts w:ascii="宋体" w:hAnsi="宋体"/>
          <w:kern w:val="0"/>
          <w:sz w:val="24"/>
          <w:szCs w:val="24"/>
        </w:rPr>
      </w:pPr>
      <w:r>
        <w:rPr>
          <w:rFonts w:hint="eastAsia" w:ascii="宋体" w:hAnsi="宋体"/>
          <w:kern w:val="0"/>
          <w:sz w:val="24"/>
          <w:szCs w:val="24"/>
        </w:rPr>
        <w:t>模式二：国有公司投资建设停车项目工程，面向社会招标选择供应运营商。供应运营商负责项目的日常运行。由国有公司向</w:t>
      </w:r>
      <w:r>
        <w:rPr>
          <w:rFonts w:hint="eastAsia" w:ascii="Times New Roman" w:hAnsi="Times New Roman" w:eastAsia="宋体" w:cs="Times New Roman"/>
          <w:color w:val="000000"/>
          <w:kern w:val="0"/>
          <w:sz w:val="24"/>
          <w:szCs w:val="24"/>
        </w:rPr>
        <w:t>供应运营商</w:t>
      </w:r>
      <w:r>
        <w:rPr>
          <w:rFonts w:hint="eastAsia" w:ascii="宋体" w:hAnsi="宋体"/>
          <w:kern w:val="0"/>
          <w:sz w:val="24"/>
          <w:szCs w:val="24"/>
        </w:rPr>
        <w:t>支付建设或运营费。</w:t>
      </w:r>
    </w:p>
    <w:p>
      <w:pPr>
        <w:spacing w:line="360" w:lineRule="auto"/>
        <w:ind w:firstLine="480" w:firstLineChars="200"/>
        <w:rPr>
          <w:rFonts w:ascii="宋体" w:hAnsi="宋体"/>
          <w:kern w:val="0"/>
          <w:sz w:val="24"/>
          <w:szCs w:val="24"/>
        </w:rPr>
      </w:pPr>
      <w:r>
        <w:rPr>
          <w:rFonts w:hint="eastAsia" w:ascii="宋体" w:hAnsi="宋体"/>
          <w:kern w:val="0"/>
          <w:sz w:val="24"/>
          <w:szCs w:val="24"/>
        </w:rPr>
        <w:t>模式三：特许经营模式，通过公开招投标引入社会资本投资、建设、运营，若干年后将整体项目设施移交政府。由社会资本在本地成立具有法人资格项目运营公司，通过车位固定单价向实施单位上缴经营权费用。</w:t>
      </w:r>
    </w:p>
    <w:tbl>
      <w:tblPr>
        <w:tblStyle w:val="12"/>
        <w:tblW w:w="497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1"/>
        <w:gridCol w:w="3589"/>
        <w:gridCol w:w="2907"/>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pct"/>
            <w:vAlign w:val="center"/>
          </w:tcPr>
          <w:p>
            <w:pPr>
              <w:jc w:val="center"/>
              <w:rPr>
                <w:rFonts w:ascii="Times New Roman" w:hAnsi="Times New Roman" w:eastAsia="宋体" w:cs="Times New Roman"/>
              </w:rPr>
            </w:pPr>
            <w:r>
              <w:rPr>
                <w:rFonts w:hint="eastAsia" w:ascii="Times New Roman" w:hAnsi="Times New Roman" w:eastAsia="宋体" w:cs="Times New Roman"/>
              </w:rPr>
              <w:t>运作模式</w:t>
            </w:r>
          </w:p>
        </w:tc>
        <w:tc>
          <w:tcPr>
            <w:tcW w:w="1953" w:type="pct"/>
            <w:vAlign w:val="center"/>
          </w:tcPr>
          <w:p>
            <w:pPr>
              <w:jc w:val="center"/>
              <w:rPr>
                <w:rFonts w:ascii="Times New Roman" w:hAnsi="Times New Roman" w:eastAsia="宋体" w:cs="Times New Roman"/>
              </w:rPr>
            </w:pPr>
            <w:r>
              <w:rPr>
                <w:rFonts w:hint="eastAsia" w:ascii="Times New Roman" w:hAnsi="Times New Roman" w:eastAsia="宋体" w:cs="Times New Roman"/>
              </w:rPr>
              <w:t>优点</w:t>
            </w:r>
          </w:p>
        </w:tc>
        <w:tc>
          <w:tcPr>
            <w:tcW w:w="1582" w:type="pct"/>
            <w:vAlign w:val="center"/>
          </w:tcPr>
          <w:p>
            <w:pPr>
              <w:jc w:val="center"/>
              <w:rPr>
                <w:rFonts w:ascii="Times New Roman" w:hAnsi="Times New Roman" w:eastAsia="宋体" w:cs="Times New Roman"/>
              </w:rPr>
            </w:pPr>
            <w:r>
              <w:rPr>
                <w:rFonts w:hint="eastAsia" w:ascii="Times New Roman" w:hAnsi="Times New Roman" w:eastAsia="宋体" w:cs="Times New Roman"/>
              </w:rPr>
              <w:t>缺点</w:t>
            </w:r>
          </w:p>
        </w:tc>
        <w:tc>
          <w:tcPr>
            <w:tcW w:w="648" w:type="pct"/>
            <w:vAlign w:val="center"/>
          </w:tcPr>
          <w:p>
            <w:pPr>
              <w:jc w:val="center"/>
              <w:rPr>
                <w:rFonts w:ascii="Times New Roman" w:hAnsi="Times New Roman" w:eastAsia="宋体" w:cs="Times New Roman"/>
              </w:rPr>
            </w:pPr>
            <w:r>
              <w:rPr>
                <w:rFonts w:hint="eastAsia" w:ascii="Times New Roman" w:hAnsi="Times New Roman" w:eastAsia="宋体" w:cs="Times New Roman"/>
              </w:rPr>
              <w:t>实施地区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pct"/>
            <w:vAlign w:val="center"/>
          </w:tcPr>
          <w:p>
            <w:pPr>
              <w:jc w:val="center"/>
              <w:rPr>
                <w:rFonts w:ascii="Times New Roman" w:hAnsi="Times New Roman" w:eastAsia="宋体" w:cs="Times New Roman"/>
              </w:rPr>
            </w:pPr>
            <w:r>
              <w:rPr>
                <w:rFonts w:hint="eastAsia" w:ascii="Times New Roman" w:hAnsi="Times New Roman" w:eastAsia="宋体" w:cs="Times New Roman"/>
              </w:rPr>
              <w:t>模式一：</w:t>
            </w:r>
          </w:p>
          <w:p>
            <w:pPr>
              <w:jc w:val="center"/>
              <w:rPr>
                <w:rFonts w:ascii="Times New Roman" w:hAnsi="Times New Roman" w:eastAsia="宋体" w:cs="Times New Roman"/>
              </w:rPr>
            </w:pPr>
            <w:r>
              <w:rPr>
                <w:rFonts w:hint="eastAsia" w:ascii="Times New Roman" w:hAnsi="Times New Roman" w:eastAsia="宋体" w:cs="Times New Roman"/>
              </w:rPr>
              <w:t>国有公司自主经营模式</w:t>
            </w:r>
          </w:p>
        </w:tc>
        <w:tc>
          <w:tcPr>
            <w:tcW w:w="1953" w:type="pct"/>
            <w:vAlign w:val="center"/>
          </w:tcPr>
          <w:p>
            <w:pPr>
              <w:pStyle w:val="17"/>
              <w:numPr>
                <w:ilvl w:val="0"/>
                <w:numId w:val="1"/>
              </w:numPr>
              <w:ind w:firstLineChars="0"/>
              <w:rPr>
                <w:rFonts w:ascii="Times New Roman" w:hAnsi="Times New Roman" w:eastAsia="宋体" w:cs="Times New Roman"/>
              </w:rPr>
            </w:pPr>
            <w:r>
              <w:rPr>
                <w:rFonts w:hint="eastAsia" w:ascii="Times New Roman" w:hAnsi="Times New Roman" w:eastAsia="宋体" w:cs="Times New Roman"/>
              </w:rPr>
              <w:t>自主经营，完全可控</w:t>
            </w:r>
          </w:p>
          <w:p>
            <w:pPr>
              <w:pStyle w:val="17"/>
              <w:numPr>
                <w:ilvl w:val="0"/>
                <w:numId w:val="1"/>
              </w:numPr>
              <w:ind w:firstLineChars="0"/>
              <w:rPr>
                <w:rFonts w:ascii="Times New Roman" w:hAnsi="Times New Roman" w:eastAsia="宋体" w:cs="Times New Roman"/>
              </w:rPr>
            </w:pPr>
            <w:r>
              <w:rPr>
                <w:rFonts w:hint="eastAsia" w:ascii="Times New Roman" w:hAnsi="Times New Roman" w:eastAsia="宋体" w:cs="Times New Roman"/>
              </w:rPr>
              <w:t>对收费系统完全掌握，不依赖第三方</w:t>
            </w:r>
          </w:p>
        </w:tc>
        <w:tc>
          <w:tcPr>
            <w:tcW w:w="1582" w:type="pct"/>
            <w:vAlign w:val="center"/>
          </w:tcPr>
          <w:p>
            <w:pPr>
              <w:pStyle w:val="17"/>
              <w:numPr>
                <w:ilvl w:val="0"/>
                <w:numId w:val="2"/>
              </w:numPr>
              <w:ind w:firstLineChars="0"/>
              <w:rPr>
                <w:rFonts w:ascii="Times New Roman" w:hAnsi="Times New Roman" w:eastAsia="宋体" w:cs="Times New Roman"/>
              </w:rPr>
            </w:pPr>
            <w:r>
              <w:rPr>
                <w:rFonts w:hint="eastAsia" w:ascii="Times New Roman" w:hAnsi="Times New Roman" w:eastAsia="宋体" w:cs="Times New Roman"/>
              </w:rPr>
              <w:t>国有公司组建对收费系统，包括硬件设备和软件系统的专业运营和维护团队，人员编制问题复杂；</w:t>
            </w:r>
          </w:p>
          <w:p>
            <w:pPr>
              <w:pStyle w:val="17"/>
              <w:numPr>
                <w:ilvl w:val="0"/>
                <w:numId w:val="2"/>
              </w:numPr>
              <w:ind w:firstLineChars="0"/>
              <w:rPr>
                <w:rFonts w:ascii="Times New Roman" w:hAnsi="Times New Roman" w:eastAsia="宋体" w:cs="Times New Roman"/>
              </w:rPr>
            </w:pPr>
            <w:r>
              <w:rPr>
                <w:rFonts w:hint="eastAsia" w:ascii="Times New Roman" w:hAnsi="Times New Roman" w:eastAsia="宋体" w:cs="Times New Roman"/>
              </w:rPr>
              <w:t>资金调拨流程可能影响前期工程建设进度；</w:t>
            </w:r>
          </w:p>
          <w:p>
            <w:pPr>
              <w:pStyle w:val="17"/>
              <w:numPr>
                <w:ilvl w:val="0"/>
                <w:numId w:val="2"/>
              </w:numPr>
              <w:ind w:firstLineChars="0"/>
              <w:rPr>
                <w:rFonts w:ascii="Times New Roman" w:hAnsi="Times New Roman" w:eastAsia="宋体" w:cs="Times New Roman"/>
              </w:rPr>
            </w:pPr>
            <w:r>
              <w:rPr>
                <w:rFonts w:hint="eastAsia" w:ascii="Times New Roman" w:hAnsi="Times New Roman" w:eastAsia="宋体" w:cs="Times New Roman"/>
              </w:rPr>
              <w:t>运营需要积累经验和完善相关收费管理制度，初期运营风险较大；</w:t>
            </w:r>
          </w:p>
          <w:p>
            <w:pPr>
              <w:pStyle w:val="17"/>
              <w:numPr>
                <w:ilvl w:val="0"/>
                <w:numId w:val="2"/>
              </w:numPr>
              <w:ind w:firstLineChars="0"/>
              <w:rPr>
                <w:rFonts w:ascii="Times New Roman" w:hAnsi="Times New Roman" w:eastAsia="宋体" w:cs="Times New Roman"/>
              </w:rPr>
            </w:pPr>
            <w:r>
              <w:rPr>
                <w:rFonts w:hint="eastAsia" w:ascii="Times New Roman" w:hAnsi="Times New Roman" w:eastAsia="宋体" w:cs="Times New Roman"/>
              </w:rPr>
              <w:t>运营成本高；</w:t>
            </w:r>
          </w:p>
          <w:p>
            <w:pPr>
              <w:pStyle w:val="17"/>
              <w:numPr>
                <w:ilvl w:val="0"/>
                <w:numId w:val="2"/>
              </w:numPr>
              <w:ind w:firstLineChars="0"/>
              <w:rPr>
                <w:rFonts w:ascii="Times New Roman" w:hAnsi="Times New Roman" w:eastAsia="宋体" w:cs="Times New Roman"/>
              </w:rPr>
            </w:pPr>
            <w:r>
              <w:rPr>
                <w:rFonts w:hint="eastAsia" w:ascii="Times New Roman" w:hAnsi="Times New Roman" w:eastAsia="宋体" w:cs="Times New Roman"/>
              </w:rPr>
              <w:t>账面存在坏账问题，有审计风险</w:t>
            </w:r>
          </w:p>
          <w:p>
            <w:pPr>
              <w:pStyle w:val="17"/>
              <w:numPr>
                <w:ilvl w:val="0"/>
                <w:numId w:val="2"/>
              </w:numPr>
              <w:ind w:firstLineChars="0"/>
              <w:rPr>
                <w:rFonts w:ascii="Times New Roman" w:hAnsi="Times New Roman" w:eastAsia="宋体" w:cs="Times New Roman"/>
              </w:rPr>
            </w:pPr>
            <w:r>
              <w:rPr>
                <w:rFonts w:hint="eastAsia" w:ascii="Times New Roman" w:hAnsi="Times New Roman" w:eastAsia="宋体" w:cs="Times New Roman"/>
              </w:rPr>
              <w:t>若经营不善要负责任</w:t>
            </w:r>
          </w:p>
        </w:tc>
        <w:tc>
          <w:tcPr>
            <w:tcW w:w="648" w:type="pct"/>
            <w:vAlign w:val="center"/>
          </w:tcPr>
          <w:p>
            <w:pPr>
              <w:rPr>
                <w:rFonts w:ascii="Times New Roman" w:hAnsi="Times New Roman" w:eastAsia="宋体" w:cs="Times New Roman"/>
              </w:rPr>
            </w:pPr>
            <w:r>
              <w:rPr>
                <w:rFonts w:hint="eastAsia" w:ascii="Times New Roman" w:hAnsi="Times New Roman" w:eastAsia="宋体" w:cs="Times New Roman"/>
              </w:rPr>
              <w:t>广州、深圳：由交通运输部门直属机构负责；</w:t>
            </w:r>
          </w:p>
          <w:p>
            <w:pPr>
              <w:rPr>
                <w:rFonts w:ascii="Times New Roman" w:hAnsi="Times New Roman" w:eastAsia="宋体" w:cs="Times New Roman"/>
              </w:rPr>
            </w:pPr>
            <w:r>
              <w:rPr>
                <w:rFonts w:hint="eastAsia" w:ascii="Times New Roman" w:hAnsi="Times New Roman" w:eastAsia="宋体" w:cs="Times New Roman"/>
              </w:rPr>
              <w:t>湛江、茂名：由交投集团负责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pct"/>
            <w:vAlign w:val="center"/>
          </w:tcPr>
          <w:p>
            <w:pPr>
              <w:jc w:val="center"/>
              <w:rPr>
                <w:rFonts w:ascii="Times New Roman" w:hAnsi="Times New Roman" w:eastAsia="宋体" w:cs="Times New Roman"/>
              </w:rPr>
            </w:pPr>
            <w:r>
              <w:rPr>
                <w:rFonts w:hint="eastAsia" w:ascii="Times New Roman" w:hAnsi="Times New Roman" w:eastAsia="宋体" w:cs="Times New Roman"/>
              </w:rPr>
              <w:t>模式二：</w:t>
            </w:r>
          </w:p>
          <w:p>
            <w:pPr>
              <w:jc w:val="center"/>
              <w:rPr>
                <w:rFonts w:ascii="Times New Roman" w:hAnsi="Times New Roman" w:eastAsia="宋体" w:cs="Times New Roman"/>
              </w:rPr>
            </w:pPr>
            <w:r>
              <w:rPr>
                <w:rFonts w:hint="eastAsia" w:ascii="Times New Roman" w:hAnsi="Times New Roman" w:eastAsia="宋体" w:cs="Times New Roman"/>
              </w:rPr>
              <w:t>国有公司投资建设停车项目工程，面向社会招标选择供应运营商模式</w:t>
            </w:r>
          </w:p>
        </w:tc>
        <w:tc>
          <w:tcPr>
            <w:tcW w:w="1953" w:type="pct"/>
            <w:vAlign w:val="center"/>
          </w:tcPr>
          <w:p>
            <w:pPr>
              <w:pStyle w:val="17"/>
              <w:numPr>
                <w:ilvl w:val="0"/>
                <w:numId w:val="3"/>
              </w:numPr>
              <w:ind w:firstLineChars="0"/>
              <w:rPr>
                <w:rFonts w:ascii="Times New Roman" w:hAnsi="Times New Roman" w:eastAsia="宋体" w:cs="Times New Roman"/>
              </w:rPr>
            </w:pPr>
            <w:r>
              <w:rPr>
                <w:rFonts w:hint="eastAsia" w:ascii="Times New Roman" w:hAnsi="Times New Roman" w:eastAsia="宋体" w:cs="Times New Roman"/>
              </w:rPr>
              <w:t>项目经营风险由政府和企业共同承担，项目实施有保障；</w:t>
            </w:r>
          </w:p>
          <w:p>
            <w:pPr>
              <w:pStyle w:val="17"/>
              <w:numPr>
                <w:ilvl w:val="0"/>
                <w:numId w:val="3"/>
              </w:numPr>
              <w:ind w:firstLineChars="0"/>
              <w:rPr>
                <w:rFonts w:ascii="Times New Roman" w:hAnsi="Times New Roman" w:eastAsia="宋体" w:cs="Times New Roman"/>
              </w:rPr>
            </w:pPr>
            <w:r>
              <w:rPr>
                <w:rFonts w:hint="eastAsia" w:ascii="Times New Roman" w:hAnsi="Times New Roman" w:eastAsia="宋体" w:cs="Times New Roman"/>
              </w:rPr>
              <w:t>不存在编制问题；</w:t>
            </w:r>
          </w:p>
          <w:p>
            <w:pPr>
              <w:pStyle w:val="17"/>
              <w:numPr>
                <w:ilvl w:val="0"/>
                <w:numId w:val="3"/>
              </w:numPr>
              <w:ind w:firstLineChars="0"/>
              <w:rPr>
                <w:rFonts w:ascii="Times New Roman" w:hAnsi="Times New Roman" w:eastAsia="宋体" w:cs="Times New Roman"/>
              </w:rPr>
            </w:pPr>
            <w:r>
              <w:rPr>
                <w:rFonts w:hint="eastAsia" w:ascii="Times New Roman" w:hAnsi="Times New Roman" w:eastAsia="宋体" w:cs="Times New Roman"/>
              </w:rPr>
              <w:t>专业化运营，管理效率高；</w:t>
            </w:r>
          </w:p>
          <w:p>
            <w:pPr>
              <w:pStyle w:val="17"/>
              <w:numPr>
                <w:ilvl w:val="0"/>
                <w:numId w:val="3"/>
              </w:numPr>
              <w:ind w:firstLineChars="0"/>
              <w:rPr>
                <w:rFonts w:ascii="Times New Roman" w:hAnsi="Times New Roman" w:eastAsia="宋体" w:cs="Times New Roman"/>
              </w:rPr>
            </w:pPr>
            <w:r>
              <w:rPr>
                <w:rFonts w:hint="eastAsia" w:ascii="Times New Roman" w:hAnsi="Times New Roman" w:eastAsia="宋体" w:cs="Times New Roman"/>
              </w:rPr>
              <w:t>项目资产归政府所有；</w:t>
            </w:r>
          </w:p>
        </w:tc>
        <w:tc>
          <w:tcPr>
            <w:tcW w:w="1582" w:type="pct"/>
            <w:vAlign w:val="center"/>
          </w:tcPr>
          <w:p>
            <w:pPr>
              <w:pStyle w:val="17"/>
              <w:numPr>
                <w:ilvl w:val="0"/>
                <w:numId w:val="4"/>
              </w:numPr>
              <w:ind w:firstLineChars="0"/>
              <w:rPr>
                <w:rFonts w:ascii="Times New Roman" w:hAnsi="Times New Roman" w:eastAsia="宋体" w:cs="Times New Roman"/>
              </w:rPr>
            </w:pPr>
            <w:r>
              <w:rPr>
                <w:rFonts w:hint="eastAsia" w:ascii="Times New Roman" w:hAnsi="Times New Roman" w:eastAsia="宋体" w:cs="Times New Roman"/>
              </w:rPr>
              <w:t>政府承担较大风险；</w:t>
            </w:r>
          </w:p>
          <w:p>
            <w:pPr>
              <w:pStyle w:val="17"/>
              <w:numPr>
                <w:ilvl w:val="0"/>
                <w:numId w:val="4"/>
              </w:numPr>
              <w:ind w:firstLineChars="0"/>
              <w:rPr>
                <w:rFonts w:ascii="Times New Roman" w:hAnsi="Times New Roman" w:eastAsia="宋体" w:cs="Times New Roman"/>
              </w:rPr>
            </w:pPr>
            <w:r>
              <w:rPr>
                <w:rFonts w:hint="eastAsia" w:ascii="Times New Roman" w:hAnsi="Times New Roman" w:eastAsia="宋体" w:cs="Times New Roman"/>
              </w:rPr>
              <w:t>政府初期投入较大，资金调拨流程可能影响工程建设进度；</w:t>
            </w:r>
          </w:p>
          <w:p>
            <w:pPr>
              <w:pStyle w:val="17"/>
              <w:numPr>
                <w:ilvl w:val="0"/>
                <w:numId w:val="4"/>
              </w:numPr>
              <w:ind w:firstLineChars="0"/>
              <w:rPr>
                <w:rFonts w:ascii="Times New Roman" w:hAnsi="Times New Roman" w:eastAsia="宋体" w:cs="Times New Roman"/>
              </w:rPr>
            </w:pPr>
            <w:r>
              <w:rPr>
                <w:rFonts w:hint="eastAsia" w:ascii="Times New Roman" w:hAnsi="Times New Roman" w:eastAsia="宋体" w:cs="Times New Roman"/>
              </w:rPr>
              <w:t>运营方积极性、运营的灵活性相对较低；</w:t>
            </w:r>
          </w:p>
          <w:p>
            <w:pPr>
              <w:pStyle w:val="17"/>
              <w:numPr>
                <w:ilvl w:val="0"/>
                <w:numId w:val="4"/>
              </w:numPr>
              <w:ind w:firstLineChars="0"/>
              <w:rPr>
                <w:rFonts w:ascii="Times New Roman" w:hAnsi="Times New Roman" w:eastAsia="宋体" w:cs="Times New Roman"/>
              </w:rPr>
            </w:pPr>
            <w:r>
              <w:rPr>
                <w:rFonts w:hint="eastAsia" w:ascii="Times New Roman" w:hAnsi="Times New Roman" w:eastAsia="宋体" w:cs="Times New Roman"/>
              </w:rPr>
              <w:t>账面存在坏账问题，有审计风险</w:t>
            </w:r>
          </w:p>
          <w:p>
            <w:pPr>
              <w:pStyle w:val="17"/>
              <w:numPr>
                <w:ilvl w:val="0"/>
                <w:numId w:val="4"/>
              </w:numPr>
              <w:ind w:firstLineChars="0"/>
              <w:rPr>
                <w:rFonts w:ascii="Times New Roman" w:hAnsi="Times New Roman" w:eastAsia="宋体" w:cs="Times New Roman"/>
              </w:rPr>
            </w:pPr>
            <w:r>
              <w:rPr>
                <w:rFonts w:hint="eastAsia" w:ascii="Times New Roman" w:hAnsi="Times New Roman" w:eastAsia="宋体" w:cs="Times New Roman"/>
              </w:rPr>
              <w:t>若经营不善要负责任</w:t>
            </w:r>
          </w:p>
        </w:tc>
        <w:tc>
          <w:tcPr>
            <w:tcW w:w="648" w:type="pct"/>
            <w:vAlign w:val="center"/>
          </w:tcPr>
          <w:p>
            <w:pPr>
              <w:rPr>
                <w:rFonts w:ascii="Times New Roman" w:hAnsi="Times New Roman" w:eastAsia="宋体" w:cs="Times New Roman"/>
              </w:rPr>
            </w:pPr>
            <w:r>
              <w:rPr>
                <w:rFonts w:hint="eastAsia" w:ascii="Times New Roman" w:hAnsi="Times New Roman" w:eastAsia="宋体" w:cs="Times New Roman"/>
              </w:rPr>
              <w:t>阳江、广宁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pct"/>
            <w:vAlign w:val="center"/>
          </w:tcPr>
          <w:p>
            <w:pPr>
              <w:jc w:val="center"/>
              <w:rPr>
                <w:rFonts w:ascii="Times New Roman" w:hAnsi="Times New Roman" w:eastAsia="宋体" w:cs="Times New Roman"/>
              </w:rPr>
            </w:pPr>
            <w:r>
              <w:rPr>
                <w:rFonts w:hint="eastAsia" w:ascii="Times New Roman" w:hAnsi="Times New Roman" w:eastAsia="宋体" w:cs="Times New Roman"/>
              </w:rPr>
              <w:t>模式三:</w:t>
            </w:r>
          </w:p>
          <w:p>
            <w:pPr>
              <w:jc w:val="center"/>
              <w:rPr>
                <w:rFonts w:ascii="Times New Roman" w:hAnsi="Times New Roman" w:eastAsia="宋体" w:cs="Times New Roman"/>
              </w:rPr>
            </w:pPr>
            <w:r>
              <w:rPr>
                <w:rFonts w:hint="eastAsia" w:ascii="Times New Roman" w:hAnsi="Times New Roman" w:eastAsia="宋体" w:cs="Times New Roman"/>
              </w:rPr>
              <w:t>特许经营权模式</w:t>
            </w:r>
          </w:p>
        </w:tc>
        <w:tc>
          <w:tcPr>
            <w:tcW w:w="1953" w:type="pct"/>
            <w:vAlign w:val="center"/>
          </w:tcPr>
          <w:p>
            <w:pPr>
              <w:pStyle w:val="17"/>
              <w:numPr>
                <w:ilvl w:val="0"/>
                <w:numId w:val="5"/>
              </w:numPr>
              <w:ind w:firstLineChars="0"/>
              <w:rPr>
                <w:rFonts w:ascii="Times New Roman" w:hAnsi="Times New Roman" w:eastAsia="宋体" w:cs="Times New Roman"/>
              </w:rPr>
            </w:pPr>
            <w:r>
              <w:rPr>
                <w:rFonts w:hint="eastAsia" w:ascii="Times New Roman" w:hAnsi="Times New Roman" w:eastAsia="宋体" w:cs="Times New Roman"/>
              </w:rPr>
              <w:t>不对政府财政构成负担，运营期后项目资产归政府所有；</w:t>
            </w:r>
          </w:p>
          <w:p>
            <w:pPr>
              <w:pStyle w:val="17"/>
              <w:numPr>
                <w:ilvl w:val="0"/>
                <w:numId w:val="5"/>
              </w:numPr>
              <w:ind w:firstLineChars="0"/>
              <w:rPr>
                <w:rFonts w:ascii="Times New Roman" w:hAnsi="Times New Roman" w:eastAsia="宋体" w:cs="Times New Roman"/>
              </w:rPr>
            </w:pPr>
            <w:r>
              <w:rPr>
                <w:rFonts w:hint="eastAsia" w:ascii="Times New Roman" w:hAnsi="Times New Roman" w:eastAsia="宋体" w:cs="Times New Roman"/>
              </w:rPr>
              <w:t>可对政府和企业承担的风险进行合理分配；</w:t>
            </w:r>
          </w:p>
          <w:p>
            <w:pPr>
              <w:pStyle w:val="17"/>
              <w:numPr>
                <w:ilvl w:val="0"/>
                <w:numId w:val="5"/>
              </w:numPr>
              <w:ind w:firstLineChars="0"/>
              <w:rPr>
                <w:rFonts w:ascii="Times New Roman" w:hAnsi="Times New Roman" w:eastAsia="宋体" w:cs="Times New Roman"/>
              </w:rPr>
            </w:pPr>
            <w:r>
              <w:rPr>
                <w:rFonts w:hint="eastAsia" w:ascii="Times New Roman" w:hAnsi="Times New Roman" w:eastAsia="宋体" w:cs="Times New Roman"/>
              </w:rPr>
              <w:t>企业收益与服务直接相关，企业积极性高；</w:t>
            </w:r>
          </w:p>
          <w:p>
            <w:pPr>
              <w:pStyle w:val="17"/>
              <w:numPr>
                <w:ilvl w:val="0"/>
                <w:numId w:val="5"/>
              </w:numPr>
              <w:ind w:firstLineChars="0"/>
              <w:rPr>
                <w:rFonts w:ascii="Times New Roman" w:hAnsi="Times New Roman" w:eastAsia="宋体" w:cs="Times New Roman"/>
              </w:rPr>
            </w:pPr>
            <w:r>
              <w:rPr>
                <w:rFonts w:hint="eastAsia" w:ascii="Times New Roman" w:hAnsi="Times New Roman" w:eastAsia="宋体" w:cs="Times New Roman"/>
              </w:rPr>
              <w:t>可通过项目拓宽融资渠道；</w:t>
            </w:r>
          </w:p>
          <w:p>
            <w:pPr>
              <w:pStyle w:val="17"/>
              <w:numPr>
                <w:ilvl w:val="0"/>
                <w:numId w:val="5"/>
              </w:numPr>
              <w:ind w:firstLineChars="0"/>
              <w:rPr>
                <w:rFonts w:ascii="Times New Roman" w:hAnsi="Times New Roman" w:eastAsia="宋体" w:cs="Times New Roman"/>
              </w:rPr>
            </w:pPr>
            <w:r>
              <w:rPr>
                <w:rFonts w:hint="eastAsia" w:ascii="Times New Roman" w:hAnsi="Times New Roman" w:eastAsia="宋体" w:cs="Times New Roman"/>
              </w:rPr>
              <w:t>创造税收收入；</w:t>
            </w:r>
          </w:p>
          <w:p>
            <w:pPr>
              <w:pStyle w:val="17"/>
              <w:numPr>
                <w:ilvl w:val="0"/>
                <w:numId w:val="5"/>
              </w:numPr>
              <w:ind w:firstLineChars="0"/>
              <w:rPr>
                <w:rFonts w:ascii="Times New Roman" w:hAnsi="Times New Roman" w:eastAsia="宋体" w:cs="Times New Roman"/>
              </w:rPr>
            </w:pPr>
            <w:r>
              <w:rPr>
                <w:rFonts w:hint="eastAsia" w:ascii="Times New Roman" w:hAnsi="Times New Roman" w:eastAsia="宋体" w:cs="Times New Roman"/>
              </w:rPr>
              <w:t>政府对项目可控性较高，有利于国有资产性资源的保值和增值。</w:t>
            </w:r>
          </w:p>
        </w:tc>
        <w:tc>
          <w:tcPr>
            <w:tcW w:w="1582" w:type="pct"/>
            <w:vAlign w:val="center"/>
          </w:tcPr>
          <w:p>
            <w:pPr>
              <w:pStyle w:val="17"/>
              <w:numPr>
                <w:ilvl w:val="0"/>
                <w:numId w:val="6"/>
              </w:numPr>
              <w:ind w:firstLineChars="0"/>
              <w:rPr>
                <w:rFonts w:ascii="Times New Roman" w:hAnsi="Times New Roman" w:eastAsia="宋体" w:cs="Times New Roman"/>
              </w:rPr>
            </w:pPr>
            <w:r>
              <w:rPr>
                <w:rFonts w:hint="eastAsia" w:ascii="Times New Roman" w:hAnsi="Times New Roman" w:eastAsia="宋体" w:cs="Times New Roman"/>
              </w:rPr>
              <w:t>社会资本挑选需要评估；</w:t>
            </w:r>
          </w:p>
          <w:p>
            <w:pPr>
              <w:pStyle w:val="17"/>
              <w:numPr>
                <w:ilvl w:val="0"/>
                <w:numId w:val="6"/>
              </w:numPr>
              <w:ind w:firstLineChars="0"/>
              <w:rPr>
                <w:rFonts w:ascii="Times New Roman" w:hAnsi="Times New Roman" w:eastAsia="宋体" w:cs="Times New Roman"/>
              </w:rPr>
            </w:pPr>
            <w:r>
              <w:rPr>
                <w:rFonts w:hint="eastAsia" w:ascii="Times New Roman" w:hAnsi="Times New Roman" w:eastAsia="宋体" w:cs="Times New Roman"/>
              </w:rPr>
              <w:t>政府部门间协调能力较弱。</w:t>
            </w:r>
          </w:p>
        </w:tc>
        <w:tc>
          <w:tcPr>
            <w:tcW w:w="648" w:type="pct"/>
            <w:vAlign w:val="center"/>
          </w:tcPr>
          <w:p>
            <w:pPr>
              <w:rPr>
                <w:rFonts w:ascii="Times New Roman" w:hAnsi="Times New Roman" w:eastAsia="宋体" w:cs="Times New Roman"/>
              </w:rPr>
            </w:pPr>
            <w:r>
              <w:rPr>
                <w:rFonts w:hint="eastAsia" w:ascii="Times New Roman" w:hAnsi="Times New Roman" w:eastAsia="宋体" w:cs="Times New Roman"/>
              </w:rPr>
              <w:t>肇庆端州、大旺、惠州、云浮罗定、新兴、中山小榄、东凤、沙溪、三乡、韶关浈江、南雄等</w:t>
            </w:r>
          </w:p>
        </w:tc>
      </w:tr>
    </w:tbl>
    <w:p>
      <w:pPr>
        <w:spacing w:line="360" w:lineRule="auto"/>
        <w:ind w:firstLine="480" w:firstLineChars="200"/>
        <w:rPr>
          <w:rFonts w:ascii="宋体" w:hAnsi="宋体"/>
          <w:kern w:val="0"/>
          <w:sz w:val="24"/>
          <w:szCs w:val="24"/>
        </w:rPr>
      </w:pPr>
      <w:r>
        <w:rPr>
          <w:rFonts w:hint="eastAsia" w:ascii="宋体" w:hAnsi="宋体"/>
          <w:kern w:val="0"/>
          <w:sz w:val="24"/>
          <w:szCs w:val="24"/>
        </w:rPr>
        <w:t>在三种项目运营方式的对比中，模式一和模式二主要区别在于国有企业是否全程参与项目的建设和运营，模式三则将项目整体交由社会资本方投资、建设和运营，由此分析：</w:t>
      </w:r>
    </w:p>
    <w:p>
      <w:pPr>
        <w:spacing w:line="360" w:lineRule="auto"/>
        <w:ind w:firstLine="480" w:firstLineChars="200"/>
        <w:rPr>
          <w:rFonts w:ascii="宋体" w:hAnsi="宋体"/>
          <w:kern w:val="0"/>
          <w:sz w:val="24"/>
          <w:szCs w:val="24"/>
        </w:rPr>
      </w:pPr>
      <w:r>
        <w:rPr>
          <w:rFonts w:hint="eastAsia" w:ascii="宋体" w:hAnsi="宋体"/>
          <w:kern w:val="0"/>
          <w:sz w:val="24"/>
          <w:szCs w:val="24"/>
        </w:rPr>
        <w:t>（1）从投资角度分析，虽然国有公司代表政府投资建设，对项目资金的保障性较高，但在其它方式下营业收入可实现盈利、无需要依靠“政府付费”回收投资成本的情况下，采用社会资本方全资的方式，从鼓励引入专业化社会资本和减轻财政负担的角度，更有优势。</w:t>
      </w:r>
    </w:p>
    <w:p>
      <w:pPr>
        <w:spacing w:line="360" w:lineRule="auto"/>
        <w:ind w:firstLine="480" w:firstLineChars="200"/>
        <w:rPr>
          <w:rFonts w:ascii="宋体" w:hAnsi="宋体"/>
          <w:kern w:val="0"/>
          <w:sz w:val="24"/>
          <w:szCs w:val="24"/>
        </w:rPr>
      </w:pPr>
      <w:r>
        <w:rPr>
          <w:rFonts w:hint="eastAsia" w:ascii="宋体" w:hAnsi="宋体"/>
          <w:kern w:val="0"/>
          <w:sz w:val="24"/>
          <w:szCs w:val="24"/>
        </w:rPr>
        <w:t>（2）运作模式方面，社会资本独立投资、建设和运营项目，令企业经营灵活性最大化，政府承担的经营风险最小化。但政府对项目的只保持必要的可控性。政府和社会资本平等参与，按照合同办事，坚持风险分担最优原则，根据各自的控制能力分担风险,使风险分配更合理,从而降低融资难度,提高项目融资成功的可能性,政府在分担风险的同时也拥有一定的控制权。</w:t>
      </w:r>
    </w:p>
    <w:p>
      <w:pPr>
        <w:spacing w:line="360" w:lineRule="auto"/>
        <w:ind w:firstLine="480" w:firstLineChars="200"/>
        <w:rPr>
          <w:rFonts w:ascii="宋体" w:hAnsi="宋体"/>
          <w:kern w:val="0"/>
          <w:sz w:val="24"/>
          <w:szCs w:val="24"/>
        </w:rPr>
      </w:pPr>
      <w:r>
        <w:rPr>
          <w:rFonts w:hint="eastAsia" w:ascii="宋体" w:hAnsi="宋体"/>
          <w:kern w:val="0"/>
          <w:sz w:val="24"/>
          <w:szCs w:val="24"/>
        </w:rPr>
        <w:t>（3）从收入分配方式和财务上考虑，以国有公司来投资和建设，投资回收期更短，产生的经济效益更大，可做大当地国资平台是最大的优势。但由社会资本投资更容易增加税收收入（非税收入），更符合本项目引入社会资本以“公共利益最大化”的首要目标。而且适当增加社会资本方的收入并设置合理的奖惩制度，更有利于调动社会资本的主观能动性，对社会资本的监管也起了积极的作用。</w:t>
      </w:r>
    </w:p>
    <w:p>
      <w:pPr>
        <w:spacing w:line="360" w:lineRule="auto"/>
        <w:ind w:firstLine="480" w:firstLineChars="200"/>
        <w:rPr>
          <w:rFonts w:ascii="宋体" w:hAnsi="宋体"/>
          <w:kern w:val="0"/>
          <w:sz w:val="24"/>
          <w:szCs w:val="24"/>
        </w:rPr>
      </w:pPr>
      <w:r>
        <w:rPr>
          <w:rFonts w:hint="eastAsia" w:ascii="宋体" w:hAnsi="宋体"/>
          <w:kern w:val="0"/>
          <w:sz w:val="24"/>
          <w:szCs w:val="24"/>
        </w:rPr>
        <w:t>因此，由社会资本进行投资、建设和运营，既能有效地撬动社会资本进入公共领域，服务社会资源管理，又可以充分发挥社会专业力量的作用，实现“专业的人做专业的事”。在与社会资本的合作中，坚持公共利益最大化原则，确保项目社会效益和经济效益都有所提高，形成有效的激励约束机制，实现项目利益分配“盈利但不暴利”。</w:t>
      </w:r>
    </w:p>
    <w:p>
      <w:pPr>
        <w:spacing w:line="360" w:lineRule="auto"/>
        <w:ind w:firstLine="480" w:firstLineChars="200"/>
        <w:rPr>
          <w:rFonts w:ascii="宋体" w:hAnsi="宋体"/>
          <w:kern w:val="0"/>
          <w:sz w:val="24"/>
          <w:szCs w:val="24"/>
        </w:rPr>
      </w:pPr>
      <w:r>
        <w:rPr>
          <w:rFonts w:hint="eastAsia" w:ascii="宋体" w:hAnsi="宋体"/>
          <w:kern w:val="0"/>
          <w:sz w:val="24"/>
          <w:szCs w:val="24"/>
        </w:rPr>
        <w:t>综上所述，</w:t>
      </w:r>
      <w:r>
        <w:rPr>
          <w:rFonts w:hint="eastAsia" w:ascii="宋体" w:hAnsi="宋体"/>
          <w:kern w:val="0"/>
          <w:sz w:val="24"/>
          <w:szCs w:val="24"/>
          <w:lang w:val="zh-CN"/>
        </w:rPr>
        <w:t>本项目基于引入</w:t>
      </w:r>
      <w:r>
        <w:rPr>
          <w:rFonts w:hint="eastAsia" w:ascii="宋体" w:hAnsi="宋体"/>
          <w:kern w:val="0"/>
          <w:sz w:val="24"/>
          <w:szCs w:val="24"/>
        </w:rPr>
        <w:t>社会资本既能充分发挥社会专业力量的作用，也能减少财政负担的考虑，同时在与社会资本的合作中，坚持公共利益最大化原则，</w:t>
      </w:r>
      <w:r>
        <w:rPr>
          <w:rFonts w:hint="eastAsia" w:ascii="宋体" w:hAnsi="宋体"/>
          <w:kern w:val="0"/>
          <w:sz w:val="24"/>
          <w:szCs w:val="24"/>
          <w:lang w:val="zh-CN"/>
        </w:rPr>
        <w:t>建议采用模式三：特许经营权模式。</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w:t>
      </w:r>
      <w:r>
        <w:rPr>
          <w:rFonts w:ascii="Times New Roman" w:hAnsi="Times New Roman" w:eastAsia="宋体" w:cs="Times New Roman"/>
          <w:color w:val="000000"/>
          <w:kern w:val="0"/>
          <w:sz w:val="24"/>
          <w:szCs w:val="24"/>
        </w:rPr>
        <w:t>2</w:t>
      </w:r>
      <w:r>
        <w:rPr>
          <w:rFonts w:hint="eastAsia" w:ascii="Times New Roman" w:hAnsi="Times New Roman" w:eastAsia="宋体" w:cs="Times New Roman"/>
          <w:color w:val="000000"/>
          <w:kern w:val="0"/>
          <w:sz w:val="24"/>
          <w:szCs w:val="24"/>
        </w:rPr>
        <w:t>）同类项目特许经营权比选分析</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以已实施智慧停车的城市为例，江门市及周边城市智慧停车项目经营期限情况（其中惠州市博罗县石湾镇、佛山市顺德区乐从镇、伦教镇为10年，肇庆市高新区、韶关市浈江区、佛山市顺德区容桂镇15年，佛山市顺德区大良镇、龙江镇18年，云浮市新兴县20年），省外已实施智慧停车项目的城市的经营期限为10-30年不等（其中15-20年最多）。</w:t>
      </w:r>
    </w:p>
    <w:p>
      <w:pPr>
        <w:spacing w:line="360" w:lineRule="auto"/>
        <w:ind w:firstLine="480" w:firstLineChars="200"/>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智慧停车经营期限及投资模式对比</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3119"/>
        <w:gridCol w:w="1701"/>
        <w:gridCol w:w="1701"/>
        <w:gridCol w:w="1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序号</w:t>
            </w:r>
          </w:p>
        </w:tc>
        <w:tc>
          <w:tcPr>
            <w:tcW w:w="3119" w:type="dxa"/>
            <w:vAlign w:val="center"/>
          </w:tcPr>
          <w:p>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城市名称</w:t>
            </w:r>
          </w:p>
        </w:tc>
        <w:tc>
          <w:tcPr>
            <w:tcW w:w="1701" w:type="dxa"/>
            <w:vAlign w:val="center"/>
          </w:tcPr>
          <w:p>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经营期限（年）</w:t>
            </w:r>
          </w:p>
        </w:tc>
        <w:tc>
          <w:tcPr>
            <w:tcW w:w="1701" w:type="dxa"/>
            <w:vAlign w:val="center"/>
          </w:tcPr>
          <w:p>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投资模式</w:t>
            </w:r>
          </w:p>
        </w:tc>
        <w:tc>
          <w:tcPr>
            <w:tcW w:w="1177" w:type="dxa"/>
            <w:vAlign w:val="center"/>
          </w:tcPr>
          <w:p>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1</w:t>
            </w:r>
          </w:p>
        </w:tc>
        <w:tc>
          <w:tcPr>
            <w:tcW w:w="3119" w:type="dxa"/>
            <w:vAlign w:val="center"/>
          </w:tcPr>
          <w:p>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惠州市博罗县石湾镇、佛山市高明区、佛山市顺德区乐从镇、伦教镇、中山市镇街</w:t>
            </w:r>
          </w:p>
        </w:tc>
        <w:tc>
          <w:tcPr>
            <w:tcW w:w="1701" w:type="dxa"/>
            <w:vAlign w:val="center"/>
          </w:tcPr>
          <w:p>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10</w:t>
            </w:r>
          </w:p>
        </w:tc>
        <w:tc>
          <w:tcPr>
            <w:tcW w:w="1701" w:type="dxa"/>
            <w:vAlign w:val="center"/>
          </w:tcPr>
          <w:p>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社会化投资</w:t>
            </w:r>
          </w:p>
        </w:tc>
        <w:tc>
          <w:tcPr>
            <w:tcW w:w="1177" w:type="dxa"/>
            <w:vAlign w:val="center"/>
          </w:tcPr>
          <w:p>
            <w:pPr>
              <w:rPr>
                <w:rFonts w:ascii="Times New Roman" w:hAnsi="Times New Roman" w:eastAsia="宋体" w:cs="Times New Roman"/>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2</w:t>
            </w:r>
          </w:p>
        </w:tc>
        <w:tc>
          <w:tcPr>
            <w:tcW w:w="3119" w:type="dxa"/>
            <w:vAlign w:val="center"/>
          </w:tcPr>
          <w:p>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肇庆市高新区、韶关市浈江区、佛山市顺德区容桂镇</w:t>
            </w:r>
          </w:p>
        </w:tc>
        <w:tc>
          <w:tcPr>
            <w:tcW w:w="1701" w:type="dxa"/>
            <w:vAlign w:val="center"/>
          </w:tcPr>
          <w:p>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15</w:t>
            </w:r>
          </w:p>
        </w:tc>
        <w:tc>
          <w:tcPr>
            <w:tcW w:w="1701" w:type="dxa"/>
            <w:vAlign w:val="center"/>
          </w:tcPr>
          <w:p>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社会化投资</w:t>
            </w:r>
          </w:p>
        </w:tc>
        <w:tc>
          <w:tcPr>
            <w:tcW w:w="1177" w:type="dxa"/>
            <w:vAlign w:val="center"/>
          </w:tcPr>
          <w:p>
            <w:pPr>
              <w:rPr>
                <w:rFonts w:ascii="Times New Roman" w:hAnsi="Times New Roman" w:eastAsia="宋体" w:cs="Times New Roman"/>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3</w:t>
            </w:r>
          </w:p>
        </w:tc>
        <w:tc>
          <w:tcPr>
            <w:tcW w:w="3119" w:type="dxa"/>
            <w:vAlign w:val="center"/>
          </w:tcPr>
          <w:p>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肇庆市端州区</w:t>
            </w:r>
          </w:p>
        </w:tc>
        <w:tc>
          <w:tcPr>
            <w:tcW w:w="1701" w:type="dxa"/>
            <w:vAlign w:val="center"/>
          </w:tcPr>
          <w:p>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16</w:t>
            </w:r>
          </w:p>
        </w:tc>
        <w:tc>
          <w:tcPr>
            <w:tcW w:w="1701" w:type="dxa"/>
            <w:vAlign w:val="center"/>
          </w:tcPr>
          <w:p>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社会化投资</w:t>
            </w:r>
          </w:p>
        </w:tc>
        <w:tc>
          <w:tcPr>
            <w:tcW w:w="1177" w:type="dxa"/>
            <w:vAlign w:val="center"/>
          </w:tcPr>
          <w:p>
            <w:pPr>
              <w:rPr>
                <w:rFonts w:ascii="Times New Roman" w:hAnsi="Times New Roman" w:eastAsia="宋体" w:cs="Times New Roman"/>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4</w:t>
            </w:r>
          </w:p>
        </w:tc>
        <w:tc>
          <w:tcPr>
            <w:tcW w:w="3119" w:type="dxa"/>
            <w:vAlign w:val="center"/>
          </w:tcPr>
          <w:p>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佛山市顺德区大良镇、龙江镇</w:t>
            </w:r>
          </w:p>
        </w:tc>
        <w:tc>
          <w:tcPr>
            <w:tcW w:w="1701" w:type="dxa"/>
            <w:vAlign w:val="center"/>
          </w:tcPr>
          <w:p>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18</w:t>
            </w:r>
          </w:p>
        </w:tc>
        <w:tc>
          <w:tcPr>
            <w:tcW w:w="1701" w:type="dxa"/>
            <w:vAlign w:val="center"/>
          </w:tcPr>
          <w:p>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社会化投资</w:t>
            </w:r>
          </w:p>
        </w:tc>
        <w:tc>
          <w:tcPr>
            <w:tcW w:w="1177" w:type="dxa"/>
            <w:vAlign w:val="center"/>
          </w:tcPr>
          <w:p>
            <w:pPr>
              <w:rPr>
                <w:rFonts w:ascii="Times New Roman" w:hAnsi="Times New Roman" w:eastAsia="宋体" w:cs="Times New Roman"/>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5</w:t>
            </w:r>
          </w:p>
        </w:tc>
        <w:tc>
          <w:tcPr>
            <w:tcW w:w="3119" w:type="dxa"/>
            <w:vAlign w:val="center"/>
          </w:tcPr>
          <w:p>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云浮市新兴县</w:t>
            </w:r>
          </w:p>
        </w:tc>
        <w:tc>
          <w:tcPr>
            <w:tcW w:w="1701" w:type="dxa"/>
            <w:vAlign w:val="center"/>
          </w:tcPr>
          <w:p>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20</w:t>
            </w:r>
          </w:p>
        </w:tc>
        <w:tc>
          <w:tcPr>
            <w:tcW w:w="1701" w:type="dxa"/>
            <w:vAlign w:val="center"/>
          </w:tcPr>
          <w:p>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社会化投资</w:t>
            </w:r>
          </w:p>
        </w:tc>
        <w:tc>
          <w:tcPr>
            <w:tcW w:w="1177" w:type="dxa"/>
            <w:vAlign w:val="center"/>
          </w:tcPr>
          <w:p>
            <w:pPr>
              <w:rPr>
                <w:rFonts w:ascii="Times New Roman" w:hAnsi="Times New Roman" w:eastAsia="宋体" w:cs="Times New Roman"/>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6</w:t>
            </w:r>
          </w:p>
        </w:tc>
        <w:tc>
          <w:tcPr>
            <w:tcW w:w="3119" w:type="dxa"/>
            <w:vAlign w:val="center"/>
          </w:tcPr>
          <w:p>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江门市蓬江区、江海区、新会区、台山市</w:t>
            </w:r>
          </w:p>
        </w:tc>
        <w:tc>
          <w:tcPr>
            <w:tcW w:w="1701" w:type="dxa"/>
            <w:vAlign w:val="center"/>
          </w:tcPr>
          <w:p>
            <w:pPr>
              <w:rPr>
                <w:rFonts w:ascii="Times New Roman" w:hAnsi="Times New Roman" w:eastAsia="宋体" w:cs="Times New Roman"/>
                <w:kern w:val="0"/>
                <w:sz w:val="20"/>
                <w:szCs w:val="20"/>
              </w:rPr>
            </w:pPr>
          </w:p>
        </w:tc>
        <w:tc>
          <w:tcPr>
            <w:tcW w:w="1701" w:type="dxa"/>
            <w:vAlign w:val="center"/>
          </w:tcPr>
          <w:p>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组建合资公司投资</w:t>
            </w:r>
          </w:p>
        </w:tc>
        <w:tc>
          <w:tcPr>
            <w:tcW w:w="1177" w:type="dxa"/>
            <w:vAlign w:val="center"/>
          </w:tcPr>
          <w:p>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没有确定期限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40" w:type="dxa"/>
            <w:gridSpan w:val="5"/>
            <w:vAlign w:val="center"/>
          </w:tcPr>
          <w:p>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省外已实施智慧停车项目的城市的经营期限为10-30年不等（其中15-20年最多）</w:t>
            </w:r>
          </w:p>
        </w:tc>
      </w:tr>
    </w:tbl>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项目经营期，应考虑多方因素，主要考虑因素有：</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（1）参考已实施智慧停车城市的经营期限；</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（2）根据项目整体财务测算情况，测算回本周期大概约为</w:t>
      </w:r>
      <w:r>
        <w:rPr>
          <w:rFonts w:ascii="Times New Roman" w:hAnsi="Times New Roman" w:eastAsia="宋体" w:cs="Times New Roman"/>
          <w:color w:val="000000"/>
          <w:kern w:val="0"/>
          <w:sz w:val="24"/>
          <w:szCs w:val="24"/>
        </w:rPr>
        <w:t>6.6-8.5</w:t>
      </w:r>
      <w:r>
        <w:rPr>
          <w:rFonts w:hint="eastAsia" w:ascii="Times New Roman" w:hAnsi="Times New Roman" w:eastAsia="宋体" w:cs="Times New Roman"/>
          <w:color w:val="000000"/>
          <w:kern w:val="0"/>
          <w:sz w:val="24"/>
          <w:szCs w:val="24"/>
        </w:rPr>
        <w:t>年；</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（3）投入的设备一般在三至五年必须迭代升级，运营过程期间追加的投入暂无法精准测算，因此必须有足够的运营期限，才能保证项目整体的运营稳定性和可持续性。</w:t>
      </w:r>
    </w:p>
    <w:p>
      <w:pPr>
        <w:spacing w:line="360" w:lineRule="auto"/>
        <w:ind w:firstLine="720" w:firstLineChars="3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综上所述，本项目建议建设期为0</w:t>
      </w:r>
      <w:r>
        <w:rPr>
          <w:rFonts w:ascii="Times New Roman" w:hAnsi="Times New Roman" w:eastAsia="宋体" w:cs="Times New Roman"/>
          <w:color w:val="000000"/>
          <w:kern w:val="0"/>
          <w:sz w:val="24"/>
          <w:szCs w:val="24"/>
        </w:rPr>
        <w:t>.5</w:t>
      </w:r>
      <w:r>
        <w:rPr>
          <w:rFonts w:hint="eastAsia" w:ascii="Times New Roman" w:hAnsi="Times New Roman" w:eastAsia="宋体" w:cs="Times New Roman"/>
          <w:color w:val="000000"/>
          <w:kern w:val="0"/>
          <w:sz w:val="24"/>
          <w:szCs w:val="24"/>
        </w:rPr>
        <w:t>年，经营期限为12年。</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w:t>
      </w:r>
      <w:r>
        <w:rPr>
          <w:rFonts w:ascii="Times New Roman" w:hAnsi="Times New Roman" w:eastAsia="宋体" w:cs="Times New Roman"/>
          <w:color w:val="000000"/>
          <w:kern w:val="0"/>
          <w:sz w:val="24"/>
          <w:szCs w:val="24"/>
        </w:rPr>
        <w:t>3</w:t>
      </w:r>
      <w:r>
        <w:rPr>
          <w:rFonts w:hint="eastAsia" w:ascii="Times New Roman" w:hAnsi="Times New Roman" w:eastAsia="宋体" w:cs="Times New Roman"/>
          <w:color w:val="000000"/>
          <w:kern w:val="0"/>
          <w:sz w:val="24"/>
          <w:szCs w:val="24"/>
        </w:rPr>
        <w:t>）本项目的建议实施模式及经营期限</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综上分析，建议采用社会化投资，采用“建设+运营+移交”模式（即B</w:t>
      </w:r>
      <w:r>
        <w:rPr>
          <w:rFonts w:ascii="Times New Roman" w:hAnsi="Times New Roman" w:eastAsia="宋体" w:cs="Times New Roman"/>
          <w:color w:val="000000"/>
          <w:kern w:val="0"/>
          <w:sz w:val="24"/>
          <w:szCs w:val="24"/>
        </w:rPr>
        <w:t>OT</w:t>
      </w:r>
      <w:r>
        <w:rPr>
          <w:rFonts w:hint="eastAsia" w:ascii="Times New Roman" w:hAnsi="Times New Roman" w:eastAsia="宋体" w:cs="Times New Roman"/>
          <w:color w:val="000000"/>
          <w:kern w:val="0"/>
          <w:sz w:val="24"/>
          <w:szCs w:val="24"/>
        </w:rPr>
        <w:t>模式）进行项目运营，通过公开招标遴选合适的智慧停车项目运营公司。</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根据《基础设施和公用事业特许经营管理办法》特许经营权最长年限可达30年，建议合同期为12.5年（其中建设期为0.5年，经营权期限为12年），未来扩展的沙坪城区所有公共停车位不再重新招募经营主体，争取其他镇街可接入同一平台，经营权期满后所有资产（包括智慧停车平台、智慧停车前端设备、停车诱导系统、交通设施、运营中心等硬件软件设备设施）无偿移交给鹤山市人民政府，并免费提供技术培训。</w:t>
      </w:r>
    </w:p>
    <w:p>
      <w:pPr>
        <w:spacing w:line="360" w:lineRule="auto"/>
        <w:ind w:firstLine="480" w:firstLineChars="200"/>
        <w:outlineLvl w:val="1"/>
        <w:rPr>
          <w:rFonts w:ascii="Times New Roman" w:hAnsi="Times New Roman" w:eastAsia="微软雅黑" w:cs="Times New Roman"/>
          <w:color w:val="000000"/>
          <w:kern w:val="0"/>
          <w:sz w:val="24"/>
          <w:szCs w:val="24"/>
        </w:rPr>
      </w:pPr>
      <w:bookmarkStart w:id="14" w:name="_Toc75531148"/>
      <w:r>
        <w:rPr>
          <w:rFonts w:hint="eastAsia" w:ascii="Times New Roman" w:hAnsi="Times New Roman" w:eastAsia="微软雅黑" w:cs="Times New Roman"/>
          <w:color w:val="000000"/>
          <w:kern w:val="0"/>
          <w:sz w:val="24"/>
          <w:szCs w:val="24"/>
        </w:rPr>
        <w:t>四</w:t>
      </w:r>
      <w:r>
        <w:rPr>
          <w:rFonts w:ascii="Times New Roman" w:hAnsi="Times New Roman" w:eastAsia="微软雅黑" w:cs="Times New Roman"/>
          <w:color w:val="000000"/>
          <w:kern w:val="0"/>
          <w:sz w:val="24"/>
          <w:szCs w:val="24"/>
        </w:rPr>
        <w:t>、</w:t>
      </w:r>
      <w:r>
        <w:rPr>
          <w:rFonts w:hint="eastAsia" w:ascii="Times New Roman" w:hAnsi="Times New Roman" w:eastAsia="微软雅黑" w:cs="Times New Roman"/>
          <w:color w:val="000000"/>
          <w:kern w:val="0"/>
          <w:sz w:val="24"/>
          <w:szCs w:val="24"/>
        </w:rPr>
        <w:t>项目技术要点</w:t>
      </w:r>
      <w:bookmarkEnd w:id="14"/>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（1）建设城市级智慧停车运营平台</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本项目所有路内、路外的停车泊位均接入统一的城市级智能停车运营管理平台，该平台基于“移动互联网+物联网+云计算+大数据”技术，合理调配停车资源，提高停车设施利用效率。城市级智慧停车运营管理平台，支持城市所有停车业务和数据，拥有超强的技术兼容、全场景覆盖、停车资源一体化、停车管理无人化、运营监管精细化、静态交通资源信息化和采集数据可视化聚于一身的优势，助力城市静态交通智慧化建设。</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要求平台核心服务采用微服务架构，具有快速扩容的能力，同事兼备高并发、高安全和高可靠的服务能力。支持多种智能停车设备的接入，支持智能停车场、停车诱导系统、违章停车系统和充电桩管理系统等接入，拥有超强的技术兼容、全场景覆盖、停车资源一体化、停车管理无人化、运营监管精细化、静态交通资源信息化和采集数据可视化聚于一身的优势，助力城市静态交通智慧化建设，为停车管理运营人员提供决策依据，为广大车主提供便捷的车主客户端（微信小程序、APP等），提供丰富的互联对接接口，与政府形成数据共享。</w:t>
      </w:r>
    </w:p>
    <w:p>
      <w:pPr>
        <w:spacing w:line="360" w:lineRule="auto"/>
        <w:ind w:firstLine="420" w:firstLineChars="200"/>
        <w:rPr>
          <w:rFonts w:ascii="Times New Roman" w:hAnsi="Times New Roman" w:eastAsia="宋体" w:cs="Times New Roman"/>
          <w:color w:val="000000"/>
          <w:kern w:val="0"/>
          <w:sz w:val="24"/>
          <w:szCs w:val="24"/>
        </w:rPr>
      </w:pPr>
      <w:r>
        <w:drawing>
          <wp:inline distT="0" distB="0" distL="114300" distR="114300">
            <wp:extent cx="5269230" cy="2587625"/>
            <wp:effectExtent l="0" t="0" r="1270" b="3175"/>
            <wp:docPr id="14" name="图片 9"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图形用户界面, 网站&#10;&#10;描述已自动生成"/>
                    <pic:cNvPicPr>
                      <a:picLocks noChangeAspect="1"/>
                    </pic:cNvPicPr>
                  </pic:nvPicPr>
                  <pic:blipFill>
                    <a:blip r:embed="rId9"/>
                    <a:stretch>
                      <a:fillRect/>
                    </a:stretch>
                  </pic:blipFill>
                  <pic:spPr>
                    <a:xfrm>
                      <a:off x="0" y="0"/>
                      <a:ext cx="5269230" cy="2587625"/>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（2）缴费模式</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车主可用智能手机下载APP或者关注微信小程序，绑定、认证车牌号后，在APP或者微信小程序上缴纳停车费。停车完成后，停车账单会推送到车主手机端APP或者小程序，实现无感支付；同时也可以实现手机直接扫码或使用ETC缴纳停车费用等。</w:t>
      </w:r>
    </w:p>
    <w:p>
      <w:pPr>
        <w:pStyle w:val="17"/>
        <w:numPr>
          <w:ilvl w:val="0"/>
          <w:numId w:val="7"/>
        </w:numPr>
        <w:spacing w:line="360" w:lineRule="auto"/>
        <w:ind w:firstLineChars="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城市全域E</w:t>
      </w:r>
      <w:r>
        <w:rPr>
          <w:rFonts w:ascii="Times New Roman" w:hAnsi="Times New Roman" w:eastAsia="宋体" w:cs="Times New Roman"/>
          <w:color w:val="000000"/>
          <w:kern w:val="0"/>
          <w:sz w:val="24"/>
          <w:szCs w:val="24"/>
        </w:rPr>
        <w:t>TC</w:t>
      </w:r>
      <w:r>
        <w:rPr>
          <w:rFonts w:hint="eastAsia" w:ascii="Times New Roman" w:hAnsi="Times New Roman" w:eastAsia="宋体" w:cs="Times New Roman"/>
          <w:color w:val="000000"/>
          <w:kern w:val="0"/>
          <w:sz w:val="24"/>
          <w:szCs w:val="24"/>
        </w:rPr>
        <w:t xml:space="preserve">支付系统建设 </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支付是城市停车最重要的一环，目前交通</w:t>
      </w:r>
      <w:r>
        <w:rPr>
          <w:rFonts w:hint="eastAsia" w:ascii="Times New Roman" w:hAnsi="Times New Roman" w:eastAsia="宋体" w:cs="Times New Roman"/>
          <w:color w:val="000000"/>
          <w:kern w:val="0"/>
          <w:sz w:val="24"/>
          <w:szCs w:val="24"/>
          <w:lang w:eastAsia="zh-CN"/>
        </w:rPr>
        <w:t>运输</w:t>
      </w:r>
      <w:r>
        <w:rPr>
          <w:rFonts w:hint="eastAsia" w:ascii="Times New Roman" w:hAnsi="Times New Roman" w:eastAsia="宋体" w:cs="Times New Roman"/>
          <w:color w:val="000000"/>
          <w:kern w:val="0"/>
          <w:sz w:val="24"/>
          <w:szCs w:val="24"/>
        </w:rPr>
        <w:t>部及其他项目部门非常重视E</w:t>
      </w:r>
      <w:r>
        <w:rPr>
          <w:rFonts w:ascii="Times New Roman" w:hAnsi="Times New Roman" w:eastAsia="宋体" w:cs="Times New Roman"/>
          <w:color w:val="000000"/>
          <w:kern w:val="0"/>
          <w:sz w:val="24"/>
          <w:szCs w:val="24"/>
        </w:rPr>
        <w:t>TC</w:t>
      </w:r>
      <w:r>
        <w:rPr>
          <w:rFonts w:hint="eastAsia" w:ascii="Times New Roman" w:hAnsi="Times New Roman" w:eastAsia="宋体" w:cs="Times New Roman"/>
          <w:color w:val="000000"/>
          <w:kern w:val="0"/>
          <w:sz w:val="24"/>
          <w:szCs w:val="24"/>
        </w:rPr>
        <w:t>在城市交通的应用，交通</w:t>
      </w:r>
      <w:r>
        <w:rPr>
          <w:rFonts w:hint="eastAsia" w:ascii="Times New Roman" w:hAnsi="Times New Roman" w:eastAsia="宋体" w:cs="Times New Roman"/>
          <w:color w:val="000000"/>
          <w:kern w:val="0"/>
          <w:sz w:val="24"/>
          <w:szCs w:val="24"/>
          <w:lang w:eastAsia="zh-CN"/>
        </w:rPr>
        <w:t>运输</w:t>
      </w:r>
      <w:r>
        <w:rPr>
          <w:rFonts w:hint="eastAsia" w:ascii="Times New Roman" w:hAnsi="Times New Roman" w:eastAsia="宋体" w:cs="Times New Roman"/>
          <w:color w:val="000000"/>
          <w:kern w:val="0"/>
          <w:sz w:val="24"/>
          <w:szCs w:val="24"/>
        </w:rPr>
        <w:t>部已经将城市停车作为E</w:t>
      </w:r>
      <w:r>
        <w:rPr>
          <w:rFonts w:ascii="Times New Roman" w:hAnsi="Times New Roman" w:eastAsia="宋体" w:cs="Times New Roman"/>
          <w:color w:val="000000"/>
          <w:kern w:val="0"/>
          <w:sz w:val="24"/>
          <w:szCs w:val="24"/>
        </w:rPr>
        <w:t>TC</w:t>
      </w:r>
      <w:r>
        <w:rPr>
          <w:rFonts w:hint="eastAsia" w:ascii="Times New Roman" w:hAnsi="Times New Roman" w:eastAsia="宋体" w:cs="Times New Roman"/>
          <w:color w:val="000000"/>
          <w:kern w:val="0"/>
          <w:sz w:val="24"/>
          <w:szCs w:val="24"/>
        </w:rPr>
        <w:t>城市应用的重要一环，为提升项目的整体科技感，应包含城市全域E</w:t>
      </w:r>
      <w:r>
        <w:rPr>
          <w:rFonts w:ascii="Times New Roman" w:hAnsi="Times New Roman" w:eastAsia="宋体" w:cs="Times New Roman"/>
          <w:color w:val="000000"/>
          <w:kern w:val="0"/>
          <w:sz w:val="24"/>
          <w:szCs w:val="24"/>
        </w:rPr>
        <w:t>TC</w:t>
      </w:r>
      <w:r>
        <w:rPr>
          <w:rFonts w:hint="eastAsia" w:ascii="Times New Roman" w:hAnsi="Times New Roman" w:eastAsia="宋体" w:cs="Times New Roman"/>
          <w:color w:val="000000"/>
          <w:kern w:val="0"/>
          <w:sz w:val="24"/>
          <w:szCs w:val="24"/>
        </w:rPr>
        <w:t>支付系统。</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（3）路内智慧停车的关键技术</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路内智慧停车现阶段有“车检器+PDA”模式、视频桩模式及中、高位视频模式。这三种智慧路内停车较为成熟的传感方式，技术成熟、稳定，建议实施方案应根据现场实际、当地人文习俗为主要的考虑条件，因地制宜选择合适方案，项目以车检器为主，高、低位视频为辅的搭配方案。主要的目标是，降低运营成本开销，提升工作效率，方便车主群众。</w:t>
      </w:r>
    </w:p>
    <w:p>
      <w:pPr>
        <w:spacing w:line="360" w:lineRule="auto"/>
        <w:ind w:firstLine="480" w:firstLineChars="200"/>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drawing>
          <wp:inline distT="0" distB="0" distL="0" distR="0">
            <wp:extent cx="4860290" cy="2330450"/>
            <wp:effectExtent l="0" t="0" r="3810" b="6350"/>
            <wp:docPr id="15"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图示&#10;&#10;描述已自动生成"/>
                    <pic:cNvPicPr>
                      <a:picLocks noChangeAspect="1"/>
                    </pic:cNvPicPr>
                  </pic:nvPicPr>
                  <pic:blipFill>
                    <a:blip r:embed="rId10"/>
                    <a:stretch>
                      <a:fillRect/>
                    </a:stretch>
                  </pic:blipFill>
                  <pic:spPr>
                    <a:xfrm>
                      <a:off x="0" y="0"/>
                      <a:ext cx="4876858" cy="2338471"/>
                    </a:xfrm>
                    <a:prstGeom prst="rect">
                      <a:avLst/>
                    </a:prstGeom>
                  </pic:spPr>
                </pic:pic>
              </a:graphicData>
            </a:graphic>
          </wp:inline>
        </w:drawing>
      </w:r>
    </w:p>
    <w:p>
      <w:pPr>
        <w:pStyle w:val="17"/>
        <w:numPr>
          <w:ilvl w:val="0"/>
          <w:numId w:val="8"/>
        </w:numPr>
        <w:spacing w:line="360" w:lineRule="auto"/>
        <w:ind w:firstLineChars="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“车检器+PDA”模式：</w:t>
      </w:r>
    </w:p>
    <w:p>
      <w:pPr>
        <w:spacing w:line="500" w:lineRule="exact"/>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车检器检测停车行为以及泊位状态，将信息传输至智慧停车平台，通过后台业务处理完成对车辆的停车、出车登记，完成停车取证。当驾车者停好车后，系统自动检测到车辆入车，经过后台验证处理，最终确定账单的生成。车辆离开时，前端智能检测设备上传车辆离场信息，系统生成账单并扣费。系统对停车过程进行图片和视频记录（配备P</w:t>
      </w:r>
      <w:r>
        <w:rPr>
          <w:rFonts w:ascii="Times New Roman" w:hAnsi="Times New Roman" w:eastAsia="宋体" w:cs="Times New Roman"/>
          <w:color w:val="000000"/>
          <w:kern w:val="0"/>
          <w:sz w:val="24"/>
          <w:szCs w:val="24"/>
        </w:rPr>
        <w:t>DA</w:t>
      </w:r>
      <w:r>
        <w:rPr>
          <w:rFonts w:hint="eastAsia" w:ascii="Times New Roman" w:hAnsi="Times New Roman" w:eastAsia="宋体" w:cs="Times New Roman"/>
          <w:color w:val="000000"/>
          <w:kern w:val="0"/>
          <w:sz w:val="24"/>
          <w:szCs w:val="24"/>
        </w:rPr>
        <w:t xml:space="preserve">或视频巡查车），形成完整的停车取证数据链，为停车欠费和逃费的追缴提供有力的保障。当驾车者停好车后，系统自动检测到车辆入车并通过手机 APP 、小程序或公众号等移动端通知车主该入车消息。车辆主离开时，前端智能检测设备上传车辆离场信息，系统生成账单并扣费。 </w:t>
      </w:r>
    </w:p>
    <w:p>
      <w:pPr>
        <w:pStyle w:val="17"/>
        <w:numPr>
          <w:ilvl w:val="0"/>
          <w:numId w:val="8"/>
        </w:numPr>
        <w:spacing w:line="360" w:lineRule="auto"/>
        <w:ind w:firstLineChars="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视频模式：</w:t>
      </w:r>
    </w:p>
    <w:p>
      <w:pPr>
        <w:spacing w:line="500" w:lineRule="exact"/>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 xml:space="preserve">采用视频检测技术，车位管理相机自动检测停车行为以及泊位状态，并自动识别车辆信息，自动生成账单并实现自动扣费。系统对停车过程进行图片和视频记录，形成完整的停车取证数据链，为停车欠费和逃费的追缴提供有力的保障。 当驾车者停好车后，系统自动检测到车辆入车并通过手机 APP 或公众号等移动端通知车主该入车消息。车辆离开时，前端智能检测设备上传车辆离场信息，系统生成账单并扣费。 </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（4）城市诱导系统的关键技术</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在各停车场设置三级停车诱导屏，发布当前停车运营区域的泊位数量信息，指引车主选择合适的停车地点，提高停车效率。同时平台接口可为交管一、二级诱导提供停车场区停车泊位数据，实现城市停车的多级诱导。</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w:t>
      </w:r>
      <w:r>
        <w:rPr>
          <w:rFonts w:ascii="Times New Roman" w:hAnsi="Times New Roman" w:eastAsia="宋体" w:cs="Times New Roman"/>
          <w:color w:val="000000"/>
          <w:kern w:val="0"/>
          <w:sz w:val="24"/>
          <w:szCs w:val="24"/>
        </w:rPr>
        <w:t>5</w:t>
      </w:r>
      <w:r>
        <w:rPr>
          <w:rFonts w:hint="eastAsia" w:ascii="Times New Roman" w:hAnsi="Times New Roman" w:eastAsia="宋体" w:cs="Times New Roman"/>
          <w:color w:val="000000"/>
          <w:kern w:val="0"/>
          <w:sz w:val="24"/>
          <w:szCs w:val="24"/>
        </w:rPr>
        <w:t>）车主停车优惠方案</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在车主停车过程中，需要提供合理的优惠让利形式，可以提供包括积分让利、及时支付让利、沿路商家消费让利和信用等级让利等方案措施，由供应商提供切实可行的优惠措施方案。</w:t>
      </w:r>
    </w:p>
    <w:p>
      <w:pPr>
        <w:spacing w:line="360" w:lineRule="auto"/>
        <w:ind w:firstLine="480" w:firstLineChars="200"/>
        <w:outlineLvl w:val="1"/>
        <w:rPr>
          <w:rFonts w:ascii="Times New Roman" w:hAnsi="Times New Roman" w:eastAsia="微软雅黑" w:cs="Times New Roman"/>
          <w:color w:val="000000"/>
          <w:kern w:val="0"/>
          <w:sz w:val="24"/>
          <w:szCs w:val="24"/>
        </w:rPr>
      </w:pPr>
      <w:bookmarkStart w:id="15" w:name="_Toc75531150"/>
      <w:r>
        <w:rPr>
          <w:rFonts w:hint="eastAsia" w:ascii="Times New Roman" w:hAnsi="Times New Roman" w:eastAsia="微软雅黑" w:cs="Times New Roman"/>
          <w:color w:val="000000"/>
          <w:kern w:val="0"/>
          <w:sz w:val="24"/>
          <w:szCs w:val="24"/>
        </w:rPr>
        <w:t>五</w:t>
      </w:r>
      <w:r>
        <w:rPr>
          <w:rFonts w:ascii="Times New Roman" w:hAnsi="Times New Roman" w:eastAsia="微软雅黑" w:cs="Times New Roman"/>
          <w:color w:val="000000"/>
          <w:kern w:val="0"/>
          <w:sz w:val="24"/>
          <w:szCs w:val="24"/>
        </w:rPr>
        <w:t>、</w:t>
      </w:r>
      <w:r>
        <w:rPr>
          <w:rFonts w:hint="eastAsia" w:ascii="Times New Roman" w:hAnsi="Times New Roman" w:eastAsia="微软雅黑" w:cs="Times New Roman"/>
          <w:color w:val="000000"/>
          <w:kern w:val="0"/>
          <w:sz w:val="24"/>
          <w:szCs w:val="24"/>
        </w:rPr>
        <w:t>项目收费标准</w:t>
      </w:r>
      <w:bookmarkEnd w:id="15"/>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（1）周边城市收费标准对比</w:t>
      </w:r>
    </w:p>
    <w:tbl>
      <w:tblPr>
        <w:tblStyle w:val="11"/>
        <w:tblW w:w="9820" w:type="dxa"/>
        <w:jc w:val="center"/>
        <w:tblLayout w:type="autofit"/>
        <w:tblCellMar>
          <w:top w:w="0" w:type="dxa"/>
          <w:left w:w="108" w:type="dxa"/>
          <w:bottom w:w="0" w:type="dxa"/>
          <w:right w:w="108" w:type="dxa"/>
        </w:tblCellMar>
      </w:tblPr>
      <w:tblGrid>
        <w:gridCol w:w="1180"/>
        <w:gridCol w:w="1720"/>
        <w:gridCol w:w="1300"/>
        <w:gridCol w:w="1310"/>
        <w:gridCol w:w="1110"/>
        <w:gridCol w:w="1360"/>
        <w:gridCol w:w="1840"/>
      </w:tblGrid>
      <w:tr>
        <w:tblPrEx>
          <w:tblCellMar>
            <w:top w:w="0" w:type="dxa"/>
            <w:left w:w="108" w:type="dxa"/>
            <w:bottom w:w="0" w:type="dxa"/>
            <w:right w:w="108" w:type="dxa"/>
          </w:tblCellMar>
        </w:tblPrEx>
        <w:trPr>
          <w:trHeight w:val="720" w:hRule="atLeast"/>
          <w:jc w:val="center"/>
        </w:trPr>
        <w:tc>
          <w:tcPr>
            <w:tcW w:w="9820" w:type="dxa"/>
            <w:gridSpan w:val="7"/>
            <w:tcBorders>
              <w:top w:val="nil"/>
              <w:left w:val="nil"/>
              <w:bottom w:val="single" w:color="auto" w:sz="4" w:space="0"/>
            </w:tcBorders>
            <w:shd w:val="clear" w:color="auto" w:fill="auto"/>
            <w:vAlign w:val="center"/>
          </w:tcPr>
          <w:p>
            <w:pPr>
              <w:widowControl/>
              <w:spacing w:line="360" w:lineRule="auto"/>
              <w:jc w:val="center"/>
              <w:rPr>
                <w:rFonts w:hAnsi="宋体" w:cs="宋体"/>
                <w:szCs w:val="24"/>
              </w:rPr>
            </w:pPr>
            <w:r>
              <w:rPr>
                <w:rFonts w:hint="eastAsia" w:hAnsi="宋体" w:cs="宋体"/>
                <w:szCs w:val="24"/>
              </w:rPr>
              <w:t>路内停车收费标准对比</w:t>
            </w:r>
          </w:p>
        </w:tc>
      </w:tr>
      <w:tr>
        <w:tblPrEx>
          <w:tblCellMar>
            <w:top w:w="0" w:type="dxa"/>
            <w:left w:w="108" w:type="dxa"/>
            <w:bottom w:w="0" w:type="dxa"/>
            <w:right w:w="108" w:type="dxa"/>
          </w:tblCellMar>
        </w:tblPrEx>
        <w:trPr>
          <w:trHeight w:val="855" w:hRule="atLeast"/>
          <w:jc w:val="center"/>
        </w:trPr>
        <w:tc>
          <w:tcPr>
            <w:tcW w:w="1180"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道路类别</w:t>
            </w:r>
          </w:p>
        </w:tc>
        <w:tc>
          <w:tcPr>
            <w:tcW w:w="172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城市名称</w:t>
            </w:r>
          </w:p>
        </w:tc>
        <w:tc>
          <w:tcPr>
            <w:tcW w:w="130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首3小时（元/小时）</w:t>
            </w:r>
          </w:p>
        </w:tc>
        <w:tc>
          <w:tcPr>
            <w:tcW w:w="131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3小时后（元/小时）</w:t>
            </w:r>
          </w:p>
        </w:tc>
        <w:tc>
          <w:tcPr>
            <w:tcW w:w="111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24小时最高收费（元）</w:t>
            </w:r>
          </w:p>
        </w:tc>
        <w:tc>
          <w:tcPr>
            <w:tcW w:w="136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夜间收费（元）</w:t>
            </w:r>
          </w:p>
        </w:tc>
        <w:tc>
          <w:tcPr>
            <w:tcW w:w="184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说明</w:t>
            </w:r>
          </w:p>
        </w:tc>
      </w:tr>
      <w:tr>
        <w:tblPrEx>
          <w:tblCellMar>
            <w:top w:w="0" w:type="dxa"/>
            <w:left w:w="108" w:type="dxa"/>
            <w:bottom w:w="0" w:type="dxa"/>
            <w:right w:w="108" w:type="dxa"/>
          </w:tblCellMar>
        </w:tblPrEx>
        <w:trPr>
          <w:trHeight w:val="499" w:hRule="atLeast"/>
          <w:jc w:val="center"/>
        </w:trPr>
        <w:tc>
          <w:tcPr>
            <w:tcW w:w="11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一类道路</w:t>
            </w:r>
          </w:p>
        </w:tc>
        <w:tc>
          <w:tcPr>
            <w:tcW w:w="172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江门市蓬江区</w:t>
            </w:r>
          </w:p>
        </w:tc>
        <w:tc>
          <w:tcPr>
            <w:tcW w:w="130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4</w:t>
            </w:r>
          </w:p>
        </w:tc>
        <w:tc>
          <w:tcPr>
            <w:tcW w:w="131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5</w:t>
            </w:r>
          </w:p>
        </w:tc>
        <w:tc>
          <w:tcPr>
            <w:tcW w:w="111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30</w:t>
            </w:r>
          </w:p>
        </w:tc>
        <w:tc>
          <w:tcPr>
            <w:tcW w:w="136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免费</w:t>
            </w:r>
          </w:p>
        </w:tc>
        <w:tc>
          <w:tcPr>
            <w:tcW w:w="184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前15分钟免费</w:t>
            </w:r>
          </w:p>
        </w:tc>
      </w:tr>
      <w:tr>
        <w:tblPrEx>
          <w:tblCellMar>
            <w:top w:w="0" w:type="dxa"/>
            <w:left w:w="108" w:type="dxa"/>
            <w:bottom w:w="0" w:type="dxa"/>
            <w:right w:w="108" w:type="dxa"/>
          </w:tblCellMar>
        </w:tblPrEx>
        <w:trPr>
          <w:trHeight w:val="499" w:hRule="atLeast"/>
          <w:jc w:val="center"/>
        </w:trPr>
        <w:tc>
          <w:tcPr>
            <w:tcW w:w="118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hAnsi="宋体" w:cs="宋体"/>
                <w:szCs w:val="24"/>
              </w:rPr>
            </w:pPr>
          </w:p>
        </w:tc>
        <w:tc>
          <w:tcPr>
            <w:tcW w:w="172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江门市新会区</w:t>
            </w:r>
          </w:p>
        </w:tc>
        <w:tc>
          <w:tcPr>
            <w:tcW w:w="130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4</w:t>
            </w:r>
          </w:p>
        </w:tc>
        <w:tc>
          <w:tcPr>
            <w:tcW w:w="131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5</w:t>
            </w:r>
          </w:p>
        </w:tc>
        <w:tc>
          <w:tcPr>
            <w:tcW w:w="111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30</w:t>
            </w:r>
          </w:p>
        </w:tc>
        <w:tc>
          <w:tcPr>
            <w:tcW w:w="136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免费</w:t>
            </w:r>
          </w:p>
        </w:tc>
        <w:tc>
          <w:tcPr>
            <w:tcW w:w="184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前15分钟免费</w:t>
            </w:r>
          </w:p>
        </w:tc>
      </w:tr>
      <w:tr>
        <w:tblPrEx>
          <w:tblCellMar>
            <w:top w:w="0" w:type="dxa"/>
            <w:left w:w="108" w:type="dxa"/>
            <w:bottom w:w="0" w:type="dxa"/>
            <w:right w:w="108" w:type="dxa"/>
          </w:tblCellMar>
        </w:tblPrEx>
        <w:trPr>
          <w:trHeight w:val="499" w:hRule="atLeast"/>
          <w:jc w:val="center"/>
        </w:trPr>
        <w:tc>
          <w:tcPr>
            <w:tcW w:w="118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hAnsi="宋体" w:cs="宋体"/>
                <w:szCs w:val="24"/>
              </w:rPr>
            </w:pPr>
          </w:p>
        </w:tc>
        <w:tc>
          <w:tcPr>
            <w:tcW w:w="172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肇庆市端州区</w:t>
            </w:r>
          </w:p>
        </w:tc>
        <w:tc>
          <w:tcPr>
            <w:tcW w:w="130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4</w:t>
            </w:r>
          </w:p>
        </w:tc>
        <w:tc>
          <w:tcPr>
            <w:tcW w:w="131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6</w:t>
            </w:r>
          </w:p>
        </w:tc>
        <w:tc>
          <w:tcPr>
            <w:tcW w:w="111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28</w:t>
            </w:r>
          </w:p>
        </w:tc>
        <w:tc>
          <w:tcPr>
            <w:tcW w:w="136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10</w:t>
            </w:r>
          </w:p>
        </w:tc>
        <w:tc>
          <w:tcPr>
            <w:tcW w:w="184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前30分钟免费</w:t>
            </w:r>
          </w:p>
        </w:tc>
      </w:tr>
      <w:tr>
        <w:tblPrEx>
          <w:tblCellMar>
            <w:top w:w="0" w:type="dxa"/>
            <w:left w:w="108" w:type="dxa"/>
            <w:bottom w:w="0" w:type="dxa"/>
            <w:right w:w="108" w:type="dxa"/>
          </w:tblCellMar>
        </w:tblPrEx>
        <w:trPr>
          <w:trHeight w:val="499" w:hRule="atLeast"/>
          <w:jc w:val="center"/>
        </w:trPr>
        <w:tc>
          <w:tcPr>
            <w:tcW w:w="118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hAnsi="宋体" w:cs="宋体"/>
                <w:szCs w:val="24"/>
              </w:rPr>
            </w:pPr>
          </w:p>
        </w:tc>
        <w:tc>
          <w:tcPr>
            <w:tcW w:w="172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韶关市浈江区</w:t>
            </w:r>
          </w:p>
        </w:tc>
        <w:tc>
          <w:tcPr>
            <w:tcW w:w="130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4</w:t>
            </w:r>
          </w:p>
        </w:tc>
        <w:tc>
          <w:tcPr>
            <w:tcW w:w="131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4</w:t>
            </w:r>
          </w:p>
        </w:tc>
        <w:tc>
          <w:tcPr>
            <w:tcW w:w="111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32</w:t>
            </w:r>
          </w:p>
        </w:tc>
        <w:tc>
          <w:tcPr>
            <w:tcW w:w="136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免费</w:t>
            </w:r>
          </w:p>
        </w:tc>
        <w:tc>
          <w:tcPr>
            <w:tcW w:w="184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无免费时间</w:t>
            </w:r>
          </w:p>
        </w:tc>
      </w:tr>
      <w:tr>
        <w:tblPrEx>
          <w:tblCellMar>
            <w:top w:w="0" w:type="dxa"/>
            <w:left w:w="108" w:type="dxa"/>
            <w:bottom w:w="0" w:type="dxa"/>
            <w:right w:w="108" w:type="dxa"/>
          </w:tblCellMar>
        </w:tblPrEx>
        <w:trPr>
          <w:trHeight w:val="499" w:hRule="atLeast"/>
          <w:jc w:val="center"/>
        </w:trPr>
        <w:tc>
          <w:tcPr>
            <w:tcW w:w="118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hAnsi="宋体" w:cs="宋体"/>
                <w:szCs w:val="24"/>
              </w:rPr>
            </w:pPr>
          </w:p>
        </w:tc>
        <w:tc>
          <w:tcPr>
            <w:tcW w:w="172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中山市</w:t>
            </w:r>
          </w:p>
        </w:tc>
        <w:tc>
          <w:tcPr>
            <w:tcW w:w="130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4</w:t>
            </w:r>
          </w:p>
        </w:tc>
        <w:tc>
          <w:tcPr>
            <w:tcW w:w="131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8</w:t>
            </w:r>
          </w:p>
        </w:tc>
        <w:tc>
          <w:tcPr>
            <w:tcW w:w="111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40</w:t>
            </w:r>
          </w:p>
        </w:tc>
        <w:tc>
          <w:tcPr>
            <w:tcW w:w="136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免费</w:t>
            </w:r>
          </w:p>
        </w:tc>
        <w:tc>
          <w:tcPr>
            <w:tcW w:w="184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前30分钟免费</w:t>
            </w:r>
          </w:p>
        </w:tc>
      </w:tr>
      <w:tr>
        <w:tblPrEx>
          <w:tblCellMar>
            <w:top w:w="0" w:type="dxa"/>
            <w:left w:w="108" w:type="dxa"/>
            <w:bottom w:w="0" w:type="dxa"/>
            <w:right w:w="108" w:type="dxa"/>
          </w:tblCellMar>
        </w:tblPrEx>
        <w:trPr>
          <w:trHeight w:val="499" w:hRule="atLeast"/>
          <w:jc w:val="center"/>
        </w:trPr>
        <w:tc>
          <w:tcPr>
            <w:tcW w:w="118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hAnsi="宋体" w:cs="宋体"/>
                <w:szCs w:val="24"/>
              </w:rPr>
            </w:pPr>
          </w:p>
        </w:tc>
        <w:tc>
          <w:tcPr>
            <w:tcW w:w="172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佛山顺德大良</w:t>
            </w:r>
          </w:p>
        </w:tc>
        <w:tc>
          <w:tcPr>
            <w:tcW w:w="130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6</w:t>
            </w:r>
          </w:p>
        </w:tc>
        <w:tc>
          <w:tcPr>
            <w:tcW w:w="131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6</w:t>
            </w:r>
          </w:p>
        </w:tc>
        <w:tc>
          <w:tcPr>
            <w:tcW w:w="111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Ansi="宋体" w:cs="宋体"/>
                <w:szCs w:val="24"/>
              </w:rPr>
              <w:t>30</w:t>
            </w:r>
          </w:p>
        </w:tc>
        <w:tc>
          <w:tcPr>
            <w:tcW w:w="136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8</w:t>
            </w:r>
          </w:p>
        </w:tc>
        <w:tc>
          <w:tcPr>
            <w:tcW w:w="184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前30分钟免费</w:t>
            </w:r>
          </w:p>
        </w:tc>
      </w:tr>
      <w:tr>
        <w:tblPrEx>
          <w:tblCellMar>
            <w:top w:w="0" w:type="dxa"/>
            <w:left w:w="108" w:type="dxa"/>
            <w:bottom w:w="0" w:type="dxa"/>
            <w:right w:w="108" w:type="dxa"/>
          </w:tblCellMar>
        </w:tblPrEx>
        <w:trPr>
          <w:trHeight w:val="499" w:hRule="atLeast"/>
          <w:jc w:val="center"/>
        </w:trPr>
        <w:tc>
          <w:tcPr>
            <w:tcW w:w="118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hAnsi="宋体" w:cs="宋体"/>
                <w:szCs w:val="24"/>
              </w:rPr>
            </w:pPr>
          </w:p>
        </w:tc>
        <w:tc>
          <w:tcPr>
            <w:tcW w:w="172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汕头市</w:t>
            </w:r>
          </w:p>
        </w:tc>
        <w:tc>
          <w:tcPr>
            <w:tcW w:w="130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6</w:t>
            </w:r>
          </w:p>
        </w:tc>
        <w:tc>
          <w:tcPr>
            <w:tcW w:w="131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6</w:t>
            </w:r>
          </w:p>
        </w:tc>
        <w:tc>
          <w:tcPr>
            <w:tcW w:w="111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60</w:t>
            </w:r>
          </w:p>
        </w:tc>
        <w:tc>
          <w:tcPr>
            <w:tcW w:w="136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8</w:t>
            </w:r>
          </w:p>
        </w:tc>
        <w:tc>
          <w:tcPr>
            <w:tcW w:w="184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前15分钟免费</w:t>
            </w:r>
          </w:p>
        </w:tc>
      </w:tr>
      <w:tr>
        <w:tblPrEx>
          <w:tblCellMar>
            <w:top w:w="0" w:type="dxa"/>
            <w:left w:w="108" w:type="dxa"/>
            <w:bottom w:w="0" w:type="dxa"/>
            <w:right w:w="108" w:type="dxa"/>
          </w:tblCellMar>
        </w:tblPrEx>
        <w:trPr>
          <w:trHeight w:val="499" w:hRule="atLeast"/>
          <w:jc w:val="center"/>
        </w:trPr>
        <w:tc>
          <w:tcPr>
            <w:tcW w:w="118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hAnsi="宋体" w:cs="宋体"/>
                <w:szCs w:val="24"/>
              </w:rPr>
            </w:pPr>
          </w:p>
        </w:tc>
        <w:tc>
          <w:tcPr>
            <w:tcW w:w="172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阳江市江城区</w:t>
            </w:r>
          </w:p>
        </w:tc>
        <w:tc>
          <w:tcPr>
            <w:tcW w:w="130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4</w:t>
            </w:r>
          </w:p>
        </w:tc>
        <w:tc>
          <w:tcPr>
            <w:tcW w:w="131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4</w:t>
            </w:r>
          </w:p>
        </w:tc>
        <w:tc>
          <w:tcPr>
            <w:tcW w:w="111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32</w:t>
            </w:r>
          </w:p>
        </w:tc>
        <w:tc>
          <w:tcPr>
            <w:tcW w:w="136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6</w:t>
            </w:r>
          </w:p>
        </w:tc>
        <w:tc>
          <w:tcPr>
            <w:tcW w:w="184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前30分钟免费</w:t>
            </w:r>
          </w:p>
        </w:tc>
      </w:tr>
      <w:tr>
        <w:tblPrEx>
          <w:tblCellMar>
            <w:top w:w="0" w:type="dxa"/>
            <w:left w:w="108" w:type="dxa"/>
            <w:bottom w:w="0" w:type="dxa"/>
            <w:right w:w="108" w:type="dxa"/>
          </w:tblCellMar>
        </w:tblPrEx>
        <w:trPr>
          <w:trHeight w:val="499" w:hRule="atLeast"/>
          <w:jc w:val="center"/>
        </w:trPr>
        <w:tc>
          <w:tcPr>
            <w:tcW w:w="11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二类道路</w:t>
            </w:r>
          </w:p>
        </w:tc>
        <w:tc>
          <w:tcPr>
            <w:tcW w:w="172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江门市蓬江区</w:t>
            </w:r>
          </w:p>
        </w:tc>
        <w:tc>
          <w:tcPr>
            <w:tcW w:w="130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2</w:t>
            </w:r>
          </w:p>
        </w:tc>
        <w:tc>
          <w:tcPr>
            <w:tcW w:w="131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3</w:t>
            </w:r>
          </w:p>
        </w:tc>
        <w:tc>
          <w:tcPr>
            <w:tcW w:w="111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20</w:t>
            </w:r>
          </w:p>
        </w:tc>
        <w:tc>
          <w:tcPr>
            <w:tcW w:w="136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免费</w:t>
            </w:r>
          </w:p>
        </w:tc>
        <w:tc>
          <w:tcPr>
            <w:tcW w:w="184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前15分钟免费</w:t>
            </w:r>
          </w:p>
        </w:tc>
      </w:tr>
      <w:tr>
        <w:tblPrEx>
          <w:tblCellMar>
            <w:top w:w="0" w:type="dxa"/>
            <w:left w:w="108" w:type="dxa"/>
            <w:bottom w:w="0" w:type="dxa"/>
            <w:right w:w="108" w:type="dxa"/>
          </w:tblCellMar>
        </w:tblPrEx>
        <w:trPr>
          <w:trHeight w:val="499" w:hRule="atLeast"/>
          <w:jc w:val="center"/>
        </w:trPr>
        <w:tc>
          <w:tcPr>
            <w:tcW w:w="118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hAnsi="宋体" w:cs="宋体"/>
                <w:szCs w:val="24"/>
              </w:rPr>
            </w:pPr>
          </w:p>
        </w:tc>
        <w:tc>
          <w:tcPr>
            <w:tcW w:w="172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江门市新会区</w:t>
            </w:r>
          </w:p>
        </w:tc>
        <w:tc>
          <w:tcPr>
            <w:tcW w:w="130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2</w:t>
            </w:r>
          </w:p>
        </w:tc>
        <w:tc>
          <w:tcPr>
            <w:tcW w:w="131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3</w:t>
            </w:r>
          </w:p>
        </w:tc>
        <w:tc>
          <w:tcPr>
            <w:tcW w:w="111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20</w:t>
            </w:r>
          </w:p>
        </w:tc>
        <w:tc>
          <w:tcPr>
            <w:tcW w:w="136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免费</w:t>
            </w:r>
          </w:p>
        </w:tc>
        <w:tc>
          <w:tcPr>
            <w:tcW w:w="184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前15分钟免费</w:t>
            </w:r>
          </w:p>
        </w:tc>
      </w:tr>
      <w:tr>
        <w:tblPrEx>
          <w:tblCellMar>
            <w:top w:w="0" w:type="dxa"/>
            <w:left w:w="108" w:type="dxa"/>
            <w:bottom w:w="0" w:type="dxa"/>
            <w:right w:w="108" w:type="dxa"/>
          </w:tblCellMar>
        </w:tblPrEx>
        <w:trPr>
          <w:trHeight w:val="499" w:hRule="atLeast"/>
          <w:jc w:val="center"/>
        </w:trPr>
        <w:tc>
          <w:tcPr>
            <w:tcW w:w="118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hAnsi="宋体" w:cs="宋体"/>
                <w:szCs w:val="24"/>
              </w:rPr>
            </w:pPr>
          </w:p>
        </w:tc>
        <w:tc>
          <w:tcPr>
            <w:tcW w:w="172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肇庆市端州区</w:t>
            </w:r>
          </w:p>
        </w:tc>
        <w:tc>
          <w:tcPr>
            <w:tcW w:w="130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3</w:t>
            </w:r>
          </w:p>
        </w:tc>
        <w:tc>
          <w:tcPr>
            <w:tcW w:w="131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5</w:t>
            </w:r>
          </w:p>
        </w:tc>
        <w:tc>
          <w:tcPr>
            <w:tcW w:w="111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23</w:t>
            </w:r>
          </w:p>
        </w:tc>
        <w:tc>
          <w:tcPr>
            <w:tcW w:w="136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10</w:t>
            </w:r>
          </w:p>
        </w:tc>
        <w:tc>
          <w:tcPr>
            <w:tcW w:w="184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前30分钟免费</w:t>
            </w:r>
          </w:p>
        </w:tc>
      </w:tr>
      <w:tr>
        <w:tblPrEx>
          <w:tblCellMar>
            <w:top w:w="0" w:type="dxa"/>
            <w:left w:w="108" w:type="dxa"/>
            <w:bottom w:w="0" w:type="dxa"/>
            <w:right w:w="108" w:type="dxa"/>
          </w:tblCellMar>
        </w:tblPrEx>
        <w:trPr>
          <w:trHeight w:val="499" w:hRule="atLeast"/>
          <w:jc w:val="center"/>
        </w:trPr>
        <w:tc>
          <w:tcPr>
            <w:tcW w:w="118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hAnsi="宋体" w:cs="宋体"/>
                <w:szCs w:val="24"/>
              </w:rPr>
            </w:pPr>
          </w:p>
        </w:tc>
        <w:tc>
          <w:tcPr>
            <w:tcW w:w="172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韶关市浈江区</w:t>
            </w:r>
          </w:p>
        </w:tc>
        <w:tc>
          <w:tcPr>
            <w:tcW w:w="130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3</w:t>
            </w:r>
          </w:p>
        </w:tc>
        <w:tc>
          <w:tcPr>
            <w:tcW w:w="131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3</w:t>
            </w:r>
          </w:p>
        </w:tc>
        <w:tc>
          <w:tcPr>
            <w:tcW w:w="111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24</w:t>
            </w:r>
          </w:p>
        </w:tc>
        <w:tc>
          <w:tcPr>
            <w:tcW w:w="136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免费</w:t>
            </w:r>
          </w:p>
        </w:tc>
        <w:tc>
          <w:tcPr>
            <w:tcW w:w="184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无免费时间</w:t>
            </w:r>
          </w:p>
        </w:tc>
      </w:tr>
      <w:tr>
        <w:tblPrEx>
          <w:tblCellMar>
            <w:top w:w="0" w:type="dxa"/>
            <w:left w:w="108" w:type="dxa"/>
            <w:bottom w:w="0" w:type="dxa"/>
            <w:right w:w="108" w:type="dxa"/>
          </w:tblCellMar>
        </w:tblPrEx>
        <w:trPr>
          <w:trHeight w:val="499" w:hRule="atLeast"/>
          <w:jc w:val="center"/>
        </w:trPr>
        <w:tc>
          <w:tcPr>
            <w:tcW w:w="118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hAnsi="宋体" w:cs="宋体"/>
                <w:szCs w:val="24"/>
              </w:rPr>
            </w:pPr>
          </w:p>
        </w:tc>
        <w:tc>
          <w:tcPr>
            <w:tcW w:w="172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中山市</w:t>
            </w:r>
          </w:p>
        </w:tc>
        <w:tc>
          <w:tcPr>
            <w:tcW w:w="130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3</w:t>
            </w:r>
          </w:p>
        </w:tc>
        <w:tc>
          <w:tcPr>
            <w:tcW w:w="131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6</w:t>
            </w:r>
          </w:p>
        </w:tc>
        <w:tc>
          <w:tcPr>
            <w:tcW w:w="111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32</w:t>
            </w:r>
          </w:p>
        </w:tc>
        <w:tc>
          <w:tcPr>
            <w:tcW w:w="136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免费</w:t>
            </w:r>
          </w:p>
        </w:tc>
        <w:tc>
          <w:tcPr>
            <w:tcW w:w="184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前30分钟免费</w:t>
            </w:r>
          </w:p>
        </w:tc>
      </w:tr>
      <w:tr>
        <w:tblPrEx>
          <w:tblCellMar>
            <w:top w:w="0" w:type="dxa"/>
            <w:left w:w="108" w:type="dxa"/>
            <w:bottom w:w="0" w:type="dxa"/>
            <w:right w:w="108" w:type="dxa"/>
          </w:tblCellMar>
        </w:tblPrEx>
        <w:trPr>
          <w:trHeight w:val="554" w:hRule="atLeast"/>
          <w:jc w:val="center"/>
        </w:trPr>
        <w:tc>
          <w:tcPr>
            <w:tcW w:w="118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hAnsi="宋体" w:cs="宋体"/>
                <w:szCs w:val="24"/>
              </w:rPr>
            </w:pPr>
          </w:p>
        </w:tc>
        <w:tc>
          <w:tcPr>
            <w:tcW w:w="172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佛山顺德大良</w:t>
            </w:r>
          </w:p>
        </w:tc>
        <w:tc>
          <w:tcPr>
            <w:tcW w:w="130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4</w:t>
            </w:r>
          </w:p>
        </w:tc>
        <w:tc>
          <w:tcPr>
            <w:tcW w:w="131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4</w:t>
            </w:r>
          </w:p>
        </w:tc>
        <w:tc>
          <w:tcPr>
            <w:tcW w:w="111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3</w:t>
            </w:r>
            <w:r>
              <w:rPr>
                <w:rFonts w:hAnsi="宋体" w:cs="宋体"/>
                <w:szCs w:val="24"/>
              </w:rPr>
              <w:t>0</w:t>
            </w:r>
          </w:p>
        </w:tc>
        <w:tc>
          <w:tcPr>
            <w:tcW w:w="136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Ansi="宋体" w:cs="宋体"/>
                <w:szCs w:val="24"/>
              </w:rPr>
              <w:t>8</w:t>
            </w:r>
          </w:p>
        </w:tc>
        <w:tc>
          <w:tcPr>
            <w:tcW w:w="184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前30分钟免费</w:t>
            </w:r>
          </w:p>
        </w:tc>
      </w:tr>
      <w:tr>
        <w:tblPrEx>
          <w:tblCellMar>
            <w:top w:w="0" w:type="dxa"/>
            <w:left w:w="108" w:type="dxa"/>
            <w:bottom w:w="0" w:type="dxa"/>
            <w:right w:w="108" w:type="dxa"/>
          </w:tblCellMar>
        </w:tblPrEx>
        <w:trPr>
          <w:trHeight w:val="499" w:hRule="atLeast"/>
          <w:jc w:val="center"/>
        </w:trPr>
        <w:tc>
          <w:tcPr>
            <w:tcW w:w="118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hAnsi="宋体" w:cs="宋体"/>
                <w:szCs w:val="24"/>
              </w:rPr>
            </w:pPr>
          </w:p>
        </w:tc>
        <w:tc>
          <w:tcPr>
            <w:tcW w:w="172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汕头市</w:t>
            </w:r>
          </w:p>
        </w:tc>
        <w:tc>
          <w:tcPr>
            <w:tcW w:w="130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5元/车位</w:t>
            </w:r>
          </w:p>
        </w:tc>
        <w:tc>
          <w:tcPr>
            <w:tcW w:w="131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5元/车位</w:t>
            </w:r>
          </w:p>
        </w:tc>
        <w:tc>
          <w:tcPr>
            <w:tcW w:w="111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60</w:t>
            </w:r>
          </w:p>
        </w:tc>
        <w:tc>
          <w:tcPr>
            <w:tcW w:w="136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8</w:t>
            </w:r>
          </w:p>
        </w:tc>
        <w:tc>
          <w:tcPr>
            <w:tcW w:w="184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前30分钟免费</w:t>
            </w:r>
          </w:p>
        </w:tc>
      </w:tr>
      <w:tr>
        <w:tblPrEx>
          <w:tblCellMar>
            <w:top w:w="0" w:type="dxa"/>
            <w:left w:w="108" w:type="dxa"/>
            <w:bottom w:w="0" w:type="dxa"/>
            <w:right w:w="108" w:type="dxa"/>
          </w:tblCellMar>
        </w:tblPrEx>
        <w:trPr>
          <w:trHeight w:val="499" w:hRule="atLeast"/>
          <w:jc w:val="center"/>
        </w:trPr>
        <w:tc>
          <w:tcPr>
            <w:tcW w:w="11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三类道路</w:t>
            </w:r>
          </w:p>
        </w:tc>
        <w:tc>
          <w:tcPr>
            <w:tcW w:w="172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江门市蓬江区</w:t>
            </w:r>
          </w:p>
        </w:tc>
        <w:tc>
          <w:tcPr>
            <w:tcW w:w="130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1</w:t>
            </w:r>
          </w:p>
        </w:tc>
        <w:tc>
          <w:tcPr>
            <w:tcW w:w="131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2</w:t>
            </w:r>
          </w:p>
        </w:tc>
        <w:tc>
          <w:tcPr>
            <w:tcW w:w="111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10</w:t>
            </w:r>
          </w:p>
        </w:tc>
        <w:tc>
          <w:tcPr>
            <w:tcW w:w="136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免费</w:t>
            </w:r>
          </w:p>
        </w:tc>
        <w:tc>
          <w:tcPr>
            <w:tcW w:w="184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前15分钟免费</w:t>
            </w:r>
          </w:p>
        </w:tc>
      </w:tr>
      <w:tr>
        <w:tblPrEx>
          <w:tblCellMar>
            <w:top w:w="0" w:type="dxa"/>
            <w:left w:w="108" w:type="dxa"/>
            <w:bottom w:w="0" w:type="dxa"/>
            <w:right w:w="108" w:type="dxa"/>
          </w:tblCellMar>
        </w:tblPrEx>
        <w:trPr>
          <w:trHeight w:val="499" w:hRule="atLeast"/>
          <w:jc w:val="center"/>
        </w:trPr>
        <w:tc>
          <w:tcPr>
            <w:tcW w:w="118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hAnsi="宋体" w:cs="宋体"/>
                <w:szCs w:val="24"/>
              </w:rPr>
            </w:pPr>
          </w:p>
        </w:tc>
        <w:tc>
          <w:tcPr>
            <w:tcW w:w="172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江门市新会区</w:t>
            </w:r>
          </w:p>
        </w:tc>
        <w:tc>
          <w:tcPr>
            <w:tcW w:w="130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1</w:t>
            </w:r>
          </w:p>
        </w:tc>
        <w:tc>
          <w:tcPr>
            <w:tcW w:w="131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2</w:t>
            </w:r>
          </w:p>
        </w:tc>
        <w:tc>
          <w:tcPr>
            <w:tcW w:w="111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10</w:t>
            </w:r>
          </w:p>
        </w:tc>
        <w:tc>
          <w:tcPr>
            <w:tcW w:w="136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免费</w:t>
            </w:r>
          </w:p>
        </w:tc>
        <w:tc>
          <w:tcPr>
            <w:tcW w:w="184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前15分钟免费</w:t>
            </w:r>
          </w:p>
        </w:tc>
      </w:tr>
      <w:tr>
        <w:tblPrEx>
          <w:tblCellMar>
            <w:top w:w="0" w:type="dxa"/>
            <w:left w:w="108" w:type="dxa"/>
            <w:bottom w:w="0" w:type="dxa"/>
            <w:right w:w="108" w:type="dxa"/>
          </w:tblCellMar>
        </w:tblPrEx>
        <w:trPr>
          <w:trHeight w:val="499" w:hRule="atLeast"/>
          <w:jc w:val="center"/>
        </w:trPr>
        <w:tc>
          <w:tcPr>
            <w:tcW w:w="118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hAnsi="宋体" w:cs="宋体"/>
                <w:szCs w:val="24"/>
              </w:rPr>
            </w:pPr>
          </w:p>
        </w:tc>
        <w:tc>
          <w:tcPr>
            <w:tcW w:w="172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肇庆市端州区</w:t>
            </w:r>
          </w:p>
        </w:tc>
        <w:tc>
          <w:tcPr>
            <w:tcW w:w="130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2</w:t>
            </w:r>
          </w:p>
        </w:tc>
        <w:tc>
          <w:tcPr>
            <w:tcW w:w="131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4</w:t>
            </w:r>
          </w:p>
        </w:tc>
        <w:tc>
          <w:tcPr>
            <w:tcW w:w="111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18</w:t>
            </w:r>
          </w:p>
        </w:tc>
        <w:tc>
          <w:tcPr>
            <w:tcW w:w="136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10</w:t>
            </w:r>
          </w:p>
        </w:tc>
        <w:tc>
          <w:tcPr>
            <w:tcW w:w="184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前30分钟免费</w:t>
            </w:r>
          </w:p>
        </w:tc>
      </w:tr>
      <w:tr>
        <w:tblPrEx>
          <w:tblCellMar>
            <w:top w:w="0" w:type="dxa"/>
            <w:left w:w="108" w:type="dxa"/>
            <w:bottom w:w="0" w:type="dxa"/>
            <w:right w:w="108" w:type="dxa"/>
          </w:tblCellMar>
        </w:tblPrEx>
        <w:trPr>
          <w:trHeight w:val="499" w:hRule="atLeast"/>
          <w:jc w:val="center"/>
        </w:trPr>
        <w:tc>
          <w:tcPr>
            <w:tcW w:w="118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hAnsi="宋体" w:cs="宋体"/>
                <w:szCs w:val="24"/>
              </w:rPr>
            </w:pPr>
          </w:p>
        </w:tc>
        <w:tc>
          <w:tcPr>
            <w:tcW w:w="172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韶关市浈江区</w:t>
            </w:r>
          </w:p>
        </w:tc>
        <w:tc>
          <w:tcPr>
            <w:tcW w:w="130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5元/车位</w:t>
            </w:r>
          </w:p>
        </w:tc>
        <w:tc>
          <w:tcPr>
            <w:tcW w:w="131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5元/车位</w:t>
            </w:r>
          </w:p>
        </w:tc>
        <w:tc>
          <w:tcPr>
            <w:tcW w:w="111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10</w:t>
            </w:r>
          </w:p>
        </w:tc>
        <w:tc>
          <w:tcPr>
            <w:tcW w:w="136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免费</w:t>
            </w:r>
          </w:p>
        </w:tc>
        <w:tc>
          <w:tcPr>
            <w:tcW w:w="184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无免费时间</w:t>
            </w:r>
          </w:p>
        </w:tc>
      </w:tr>
      <w:tr>
        <w:tblPrEx>
          <w:tblCellMar>
            <w:top w:w="0" w:type="dxa"/>
            <w:left w:w="108" w:type="dxa"/>
            <w:bottom w:w="0" w:type="dxa"/>
            <w:right w:w="108" w:type="dxa"/>
          </w:tblCellMar>
        </w:tblPrEx>
        <w:trPr>
          <w:trHeight w:val="499" w:hRule="atLeast"/>
          <w:jc w:val="center"/>
        </w:trPr>
        <w:tc>
          <w:tcPr>
            <w:tcW w:w="118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hAnsi="宋体" w:cs="宋体"/>
                <w:szCs w:val="24"/>
              </w:rPr>
            </w:pPr>
          </w:p>
        </w:tc>
        <w:tc>
          <w:tcPr>
            <w:tcW w:w="172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中山市</w:t>
            </w:r>
          </w:p>
        </w:tc>
        <w:tc>
          <w:tcPr>
            <w:tcW w:w="130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2</w:t>
            </w:r>
          </w:p>
        </w:tc>
        <w:tc>
          <w:tcPr>
            <w:tcW w:w="131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4</w:t>
            </w:r>
          </w:p>
        </w:tc>
        <w:tc>
          <w:tcPr>
            <w:tcW w:w="111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20</w:t>
            </w:r>
          </w:p>
        </w:tc>
        <w:tc>
          <w:tcPr>
            <w:tcW w:w="136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免费</w:t>
            </w:r>
          </w:p>
        </w:tc>
        <w:tc>
          <w:tcPr>
            <w:tcW w:w="184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Ansi="宋体" w:cs="宋体"/>
                <w:szCs w:val="24"/>
              </w:rPr>
            </w:pPr>
            <w:r>
              <w:rPr>
                <w:rFonts w:hint="eastAsia" w:hAnsi="宋体" w:cs="宋体"/>
                <w:szCs w:val="24"/>
              </w:rPr>
              <w:t>前30分钟免费</w:t>
            </w:r>
          </w:p>
        </w:tc>
      </w:tr>
    </w:tbl>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w:t>
      </w:r>
      <w:r>
        <w:rPr>
          <w:rFonts w:ascii="Times New Roman" w:hAnsi="Times New Roman" w:eastAsia="宋体" w:cs="Times New Roman"/>
          <w:color w:val="000000"/>
          <w:kern w:val="0"/>
          <w:sz w:val="24"/>
          <w:szCs w:val="24"/>
        </w:rPr>
        <w:t>2</w:t>
      </w:r>
      <w:r>
        <w:rPr>
          <w:rFonts w:hint="eastAsia" w:ascii="Times New Roman" w:hAnsi="Times New Roman" w:eastAsia="宋体" w:cs="Times New Roman"/>
          <w:color w:val="000000"/>
          <w:kern w:val="0"/>
          <w:sz w:val="24"/>
          <w:szCs w:val="24"/>
        </w:rPr>
        <w:t>）收费标准建议</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参考周边城市及结合本地经济水平实际，建议依据江门市区路边泊车停放收费标准（江发改价格[</w:t>
      </w:r>
      <w:r>
        <w:rPr>
          <w:rFonts w:ascii="Times New Roman" w:hAnsi="Times New Roman" w:eastAsia="宋体" w:cs="Times New Roman"/>
          <w:color w:val="000000"/>
          <w:kern w:val="0"/>
          <w:sz w:val="24"/>
          <w:szCs w:val="24"/>
        </w:rPr>
        <w:t>2019]894</w:t>
      </w:r>
      <w:r>
        <w:rPr>
          <w:rFonts w:hint="eastAsia" w:ascii="Times New Roman" w:hAnsi="Times New Roman" w:eastAsia="宋体" w:cs="Times New Roman"/>
          <w:color w:val="000000"/>
          <w:kern w:val="0"/>
          <w:sz w:val="24"/>
          <w:szCs w:val="24"/>
        </w:rPr>
        <w:t>号）的标准，制定停车收费标准、停车管理办法等并报市物价主管部门核准，进一步规范智慧停车管理制度，同步向社会公众做好相关宣传工作。</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要求项目的供应运营商应严格按照该收费标准执行，并配合自身方案向车主制定优惠让利措施。</w:t>
      </w:r>
    </w:p>
    <w:p>
      <w:pPr>
        <w:spacing w:line="360" w:lineRule="auto"/>
        <w:ind w:firstLine="480" w:firstLineChars="200"/>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停车收费标准指导价</w:t>
      </w:r>
    </w:p>
    <w:tbl>
      <w:tblPr>
        <w:tblStyle w:val="12"/>
        <w:tblW w:w="89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09"/>
        <w:gridCol w:w="1409"/>
        <w:gridCol w:w="2186"/>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1409" w:type="dxa"/>
          </w:tcPr>
          <w:p>
            <w:pPr>
              <w:ind w:left="840" w:hanging="840" w:hangingChars="35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mc:AlternateContent>
                <mc:Choice Requires="wps">
                  <w:drawing>
                    <wp:anchor distT="0" distB="0" distL="114300" distR="114300" simplePos="0" relativeHeight="251659264" behindDoc="0" locked="0" layoutInCell="1" allowOverlap="1">
                      <wp:simplePos x="0" y="0"/>
                      <wp:positionH relativeFrom="column">
                        <wp:posOffset>-57150</wp:posOffset>
                      </wp:positionH>
                      <wp:positionV relativeFrom="paragraph">
                        <wp:posOffset>-2540</wp:posOffset>
                      </wp:positionV>
                      <wp:extent cx="836930" cy="619125"/>
                      <wp:effectExtent l="0" t="0" r="20320" b="28575"/>
                      <wp:wrapNone/>
                      <wp:docPr id="25" name="直接连接符 1"/>
                      <wp:cNvGraphicFramePr/>
                      <a:graphic xmlns:a="http://schemas.openxmlformats.org/drawingml/2006/main">
                        <a:graphicData uri="http://schemas.microsoft.com/office/word/2010/wordprocessingShape">
                          <wps:wsp>
                            <wps:cNvCnPr/>
                            <wps:spPr>
                              <a:xfrm>
                                <a:off x="0" y="0"/>
                                <a:ext cx="836930" cy="6191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1" o:spid="_x0000_s1026" o:spt="20" style="position:absolute;left:0pt;margin-left:-4.5pt;margin-top:-0.2pt;height:48.75pt;width:65.9pt;z-index:251659264;mso-width-relative:page;mso-height-relative:page;" filled="f" stroked="t" coordsize="21600,21600" o:gfxdata="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B5qKdYAAAAHAQAADwAAAAAAAAABACAAAAAiAAAAZHJz&#10;L2Rvd25yZXYueG1sUEsBAhQAFAAAAAgAh07iQEBYbqwGAgAA+QMAAA4AAAAAAAAAAQAgAAAAJQEA&#10;AGRycy9lMm9Eb2MueG1sUEsFBgAAAAAGAAYAWQEAAJ0FAAAAAA==&#10;">
                      <v:fill on="f" focussize="0,0"/>
                      <v:stroke color="#000000" joinstyle="round"/>
                      <v:imagedata o:title=""/>
                      <o:lock v:ext="edit" aspectratio="f"/>
                    </v:line>
                  </w:pict>
                </mc:Fallback>
              </mc:AlternateContent>
            </w:r>
            <w:r>
              <w:rPr>
                <w:rFonts w:hint="eastAsia" w:ascii="Times New Roman" w:hAnsi="Times New Roman" w:eastAsia="宋体" w:cs="Times New Roman"/>
                <w:color w:val="000000"/>
                <w:kern w:val="0"/>
                <w:sz w:val="24"/>
                <w:szCs w:val="24"/>
              </w:rPr>
              <w:t xml:space="preserve">       时间</w:t>
            </w:r>
          </w:p>
          <w:p>
            <w:pP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分类</w:t>
            </w:r>
          </w:p>
        </w:tc>
        <w:tc>
          <w:tcPr>
            <w:tcW w:w="1409" w:type="dxa"/>
            <w:vAlign w:val="center"/>
          </w:tcPr>
          <w:p>
            <w:pPr>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首3小时</w:t>
            </w:r>
          </w:p>
        </w:tc>
        <w:tc>
          <w:tcPr>
            <w:tcW w:w="1409" w:type="dxa"/>
            <w:vAlign w:val="center"/>
          </w:tcPr>
          <w:p>
            <w:pPr>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3小时后</w:t>
            </w:r>
          </w:p>
        </w:tc>
        <w:tc>
          <w:tcPr>
            <w:tcW w:w="2186" w:type="dxa"/>
            <w:vAlign w:val="center"/>
          </w:tcPr>
          <w:p>
            <w:pPr>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24小时最高收费</w:t>
            </w:r>
          </w:p>
        </w:tc>
        <w:tc>
          <w:tcPr>
            <w:tcW w:w="2551" w:type="dxa"/>
            <w:vAlign w:val="center"/>
          </w:tcPr>
          <w:p>
            <w:pPr>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拟具体路段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1409" w:type="dxa"/>
            <w:vAlign w:val="center"/>
          </w:tcPr>
          <w:p>
            <w:pPr>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一类路段</w:t>
            </w:r>
          </w:p>
        </w:tc>
        <w:tc>
          <w:tcPr>
            <w:tcW w:w="1409" w:type="dxa"/>
            <w:vAlign w:val="center"/>
          </w:tcPr>
          <w:p>
            <w:pPr>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3元/小时</w:t>
            </w:r>
          </w:p>
        </w:tc>
        <w:tc>
          <w:tcPr>
            <w:tcW w:w="1409" w:type="dxa"/>
            <w:vAlign w:val="center"/>
          </w:tcPr>
          <w:p>
            <w:pPr>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4元/小时</w:t>
            </w:r>
          </w:p>
        </w:tc>
        <w:tc>
          <w:tcPr>
            <w:tcW w:w="2186" w:type="dxa"/>
            <w:vAlign w:val="center"/>
          </w:tcPr>
          <w:p>
            <w:pPr>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20元</w:t>
            </w:r>
          </w:p>
        </w:tc>
        <w:tc>
          <w:tcPr>
            <w:tcW w:w="2551" w:type="dxa"/>
            <w:vAlign w:val="center"/>
          </w:tcPr>
          <w:p>
            <w:pP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1409" w:type="dxa"/>
            <w:vAlign w:val="center"/>
          </w:tcPr>
          <w:p>
            <w:pPr>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二类路段</w:t>
            </w:r>
          </w:p>
        </w:tc>
        <w:tc>
          <w:tcPr>
            <w:tcW w:w="1409" w:type="dxa"/>
            <w:vAlign w:val="center"/>
          </w:tcPr>
          <w:p>
            <w:pPr>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2元/小时</w:t>
            </w:r>
          </w:p>
        </w:tc>
        <w:tc>
          <w:tcPr>
            <w:tcW w:w="1409" w:type="dxa"/>
            <w:vAlign w:val="center"/>
          </w:tcPr>
          <w:p>
            <w:pPr>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3元/小时</w:t>
            </w:r>
          </w:p>
        </w:tc>
        <w:tc>
          <w:tcPr>
            <w:tcW w:w="2186" w:type="dxa"/>
            <w:vAlign w:val="center"/>
          </w:tcPr>
          <w:p>
            <w:pPr>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15元</w:t>
            </w:r>
          </w:p>
        </w:tc>
        <w:tc>
          <w:tcPr>
            <w:tcW w:w="2551" w:type="dxa"/>
            <w:vAlign w:val="center"/>
          </w:tcPr>
          <w:p>
            <w:pP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1409" w:type="dxa"/>
            <w:vAlign w:val="center"/>
          </w:tcPr>
          <w:p>
            <w:pPr>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三类路段</w:t>
            </w:r>
          </w:p>
        </w:tc>
        <w:tc>
          <w:tcPr>
            <w:tcW w:w="2818" w:type="dxa"/>
            <w:gridSpan w:val="2"/>
            <w:vAlign w:val="center"/>
          </w:tcPr>
          <w:p>
            <w:pPr>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1元/小时</w:t>
            </w:r>
          </w:p>
        </w:tc>
        <w:tc>
          <w:tcPr>
            <w:tcW w:w="2186" w:type="dxa"/>
            <w:vAlign w:val="center"/>
          </w:tcPr>
          <w:p>
            <w:pPr>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10元</w:t>
            </w:r>
          </w:p>
        </w:tc>
        <w:tc>
          <w:tcPr>
            <w:tcW w:w="2551" w:type="dxa"/>
            <w:vAlign w:val="center"/>
          </w:tcPr>
          <w:p>
            <w:pP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trPr>
        <w:tc>
          <w:tcPr>
            <w:tcW w:w="8964" w:type="dxa"/>
            <w:gridSpan w:val="5"/>
          </w:tcPr>
          <w:p>
            <w:pP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备注：1、路边停车收费时段为每天8:00—20:00（具体时间段可另行拟定）；</w:t>
            </w:r>
          </w:p>
          <w:p>
            <w:pPr>
              <w:ind w:firstLine="720" w:firstLineChars="3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2、停车不超过30分钟（含）免费；</w:t>
            </w:r>
          </w:p>
          <w:p>
            <w:pPr>
              <w:ind w:firstLine="720" w:firstLineChars="3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3、停车超过30分钟后，每30分钟按小时标准折半计费，不足30分钟的按30分钟计费；</w:t>
            </w:r>
          </w:p>
          <w:p>
            <w:pPr>
              <w:ind w:firstLine="720" w:firstLineChars="3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4、路边停车收费以自然天24小时为一计费周期。</w:t>
            </w:r>
          </w:p>
          <w:p>
            <w:pPr>
              <w:ind w:firstLine="720" w:firstLineChars="3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5、免收费车辆。对实施救助的医院救护车辆、执行公务的军警车辆、市政工程抢修车辆、救灾抢修车辆以及法律法规规定的免费车辆免收停车服务费。</w:t>
            </w:r>
          </w:p>
          <w:p>
            <w:pPr>
              <w:ind w:firstLine="720" w:firstLineChars="3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6、可考虑举行重大活动或节假日期间，免收停车费。</w:t>
            </w:r>
          </w:p>
        </w:tc>
      </w:tr>
    </w:tbl>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以上路段的分类为初步拟定，项目试运营期间（不超过项目上线运营六个月）内，所有路段按三类路段的收费标准实施，在试运营期结束后根据平台的数据分析，再最终确定完整的路段分类。</w:t>
      </w:r>
    </w:p>
    <w:p>
      <w:pPr>
        <w:widowControl/>
        <w:jc w:val="left"/>
        <w:rPr>
          <w:rFonts w:ascii="Times New Roman" w:hAnsi="Times New Roman" w:eastAsia="微软雅黑" w:cs="Times New Roman"/>
          <w:b/>
          <w:color w:val="000000"/>
          <w:kern w:val="0"/>
          <w:sz w:val="32"/>
          <w:szCs w:val="24"/>
        </w:rPr>
      </w:pPr>
      <w:r>
        <w:rPr>
          <w:rFonts w:ascii="Times New Roman" w:hAnsi="Times New Roman" w:eastAsia="微软雅黑" w:cs="Times New Roman"/>
          <w:b/>
          <w:color w:val="000000"/>
          <w:kern w:val="0"/>
          <w:sz w:val="32"/>
          <w:szCs w:val="24"/>
        </w:rPr>
        <w:br w:type="page"/>
      </w:r>
    </w:p>
    <w:p>
      <w:pPr>
        <w:spacing w:line="360" w:lineRule="auto"/>
        <w:jc w:val="center"/>
        <w:outlineLvl w:val="0"/>
        <w:rPr>
          <w:rFonts w:ascii="Times New Roman" w:hAnsi="Times New Roman" w:eastAsia="微软雅黑" w:cs="Times New Roman"/>
          <w:b/>
          <w:color w:val="000000"/>
          <w:kern w:val="0"/>
          <w:sz w:val="32"/>
          <w:szCs w:val="24"/>
        </w:rPr>
      </w:pPr>
      <w:bookmarkStart w:id="16" w:name="_Toc75531151"/>
      <w:r>
        <w:rPr>
          <w:rFonts w:ascii="Times New Roman" w:hAnsi="Times New Roman" w:eastAsia="微软雅黑" w:cs="Times New Roman"/>
          <w:b/>
          <w:color w:val="000000"/>
          <w:kern w:val="0"/>
          <w:sz w:val="32"/>
          <w:szCs w:val="24"/>
        </w:rPr>
        <w:t>第四章 项目实施的</w:t>
      </w:r>
      <w:r>
        <w:rPr>
          <w:rFonts w:hint="eastAsia" w:ascii="Times New Roman" w:hAnsi="Times New Roman" w:eastAsia="微软雅黑" w:cs="Times New Roman"/>
          <w:b/>
          <w:color w:val="000000"/>
          <w:kern w:val="0"/>
          <w:sz w:val="32"/>
          <w:szCs w:val="24"/>
        </w:rPr>
        <w:t>实施流程</w:t>
      </w:r>
      <w:bookmarkEnd w:id="16"/>
    </w:p>
    <w:p>
      <w:pPr>
        <w:spacing w:line="360" w:lineRule="auto"/>
        <w:ind w:firstLine="480" w:firstLineChars="200"/>
        <w:outlineLvl w:val="1"/>
        <w:rPr>
          <w:rFonts w:ascii="Times New Roman" w:hAnsi="Times New Roman" w:eastAsia="微软雅黑" w:cs="Times New Roman"/>
          <w:color w:val="000000"/>
          <w:kern w:val="0"/>
          <w:sz w:val="24"/>
          <w:szCs w:val="24"/>
        </w:rPr>
      </w:pPr>
      <w:bookmarkStart w:id="17" w:name="_Toc75531152"/>
      <w:r>
        <w:rPr>
          <w:rFonts w:hint="eastAsia" w:ascii="Times New Roman" w:hAnsi="Times New Roman" w:eastAsia="微软雅黑" w:cs="Times New Roman"/>
          <w:color w:val="000000"/>
          <w:kern w:val="0"/>
          <w:sz w:val="24"/>
          <w:szCs w:val="24"/>
        </w:rPr>
        <w:t>一</w:t>
      </w:r>
      <w:r>
        <w:rPr>
          <w:rFonts w:ascii="Times New Roman" w:hAnsi="Times New Roman" w:eastAsia="微软雅黑" w:cs="Times New Roman"/>
          <w:color w:val="000000"/>
          <w:kern w:val="0"/>
          <w:sz w:val="24"/>
          <w:szCs w:val="24"/>
        </w:rPr>
        <w:t>、</w:t>
      </w:r>
      <w:r>
        <w:rPr>
          <w:rFonts w:hint="eastAsia" w:ascii="Times New Roman" w:hAnsi="Times New Roman" w:eastAsia="微软雅黑" w:cs="Times New Roman"/>
          <w:color w:val="000000"/>
          <w:kern w:val="0"/>
          <w:sz w:val="24"/>
          <w:szCs w:val="24"/>
        </w:rPr>
        <w:t>特许经营权实施流程</w:t>
      </w:r>
      <w:bookmarkEnd w:id="17"/>
    </w:p>
    <w:p>
      <w:pPr>
        <w:spacing w:line="360" w:lineRule="auto"/>
        <w:ind w:firstLine="600" w:firstLineChars="250"/>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根据国家发展改革委等6部委发布的《基础设施和公用事业特许经营管理办法》（2015年第25号令），特许经营权项目的操作流程通常包括项目准备、项目采购、项目执行三个阶段，根据项目实际情况和进展，操作流程</w:t>
      </w:r>
      <w:r>
        <w:rPr>
          <w:rFonts w:hint="eastAsia" w:ascii="Times New Roman" w:hAnsi="Times New Roman" w:eastAsia="宋体" w:cs="Times New Roman"/>
          <w:color w:val="000000"/>
          <w:kern w:val="0"/>
          <w:sz w:val="24"/>
          <w:szCs w:val="24"/>
        </w:rPr>
        <w:t>一般</w:t>
      </w:r>
      <w:r>
        <w:rPr>
          <w:rFonts w:ascii="Times New Roman" w:hAnsi="Times New Roman" w:eastAsia="宋体" w:cs="Times New Roman"/>
          <w:color w:val="000000"/>
          <w:kern w:val="0"/>
          <w:sz w:val="24"/>
          <w:szCs w:val="24"/>
        </w:rPr>
        <w:t>如下：</w:t>
      </w:r>
    </w:p>
    <w:p>
      <w:pPr>
        <w:jc w:val="center"/>
        <w:rPr>
          <w:rFonts w:ascii="Times New Roman" w:hAnsi="Times New Roman"/>
        </w:rPr>
      </w:pPr>
      <w:r>
        <w:rPr>
          <w:rFonts w:ascii="Times New Roman" w:hAnsi="Times New Roman"/>
        </w:rPr>
        <w:object>
          <v:shape id="_x0000_i1025" o:spt="75" type="#_x0000_t75" style="height:498pt;width:387.75pt;" o:ole="t" filled="f" o:preferrelative="t" stroked="f" coordsize="21600,21600">
            <v:path/>
            <v:fill on="f" focussize="0,0"/>
            <v:stroke on="f" joinstyle="miter"/>
            <v:imagedata r:id="rId12" o:title=""/>
            <o:lock v:ext="edit" aspectratio="t"/>
            <w10:wrap type="none"/>
            <w10:anchorlock/>
          </v:shape>
          <o:OLEObject Type="Embed" ProgID="Visio.Drawing.11" ShapeID="_x0000_i1025" DrawAspect="Content" ObjectID="_1468075725" r:id="rId11">
            <o:LockedField>false</o:LockedField>
          </o:OLEObject>
        </w:object>
      </w:r>
    </w:p>
    <w:p>
      <w:pPr>
        <w:spacing w:line="360" w:lineRule="auto"/>
        <w:ind w:firstLine="480" w:firstLineChars="200"/>
        <w:rPr>
          <w:rFonts w:ascii="Times New Roman" w:hAnsi="Times New Roman" w:eastAsia="宋体" w:cs="Times New Roman"/>
          <w:color w:val="000000"/>
          <w:kern w:val="0"/>
          <w:sz w:val="24"/>
          <w:szCs w:val="24"/>
        </w:rPr>
      </w:pPr>
    </w:p>
    <w:p>
      <w:pPr>
        <w:spacing w:line="360" w:lineRule="auto"/>
        <w:ind w:firstLine="480" w:firstLineChars="200"/>
        <w:outlineLvl w:val="1"/>
        <w:rPr>
          <w:rFonts w:ascii="Times New Roman" w:hAnsi="Times New Roman" w:eastAsia="微软雅黑" w:cs="Times New Roman"/>
          <w:color w:val="000000"/>
          <w:kern w:val="0"/>
          <w:sz w:val="24"/>
          <w:szCs w:val="24"/>
        </w:rPr>
      </w:pPr>
      <w:bookmarkStart w:id="18" w:name="_Toc75531153"/>
      <w:r>
        <w:rPr>
          <w:rFonts w:hint="eastAsia" w:ascii="Times New Roman" w:hAnsi="Times New Roman" w:eastAsia="微软雅黑" w:cs="Times New Roman"/>
          <w:color w:val="000000"/>
          <w:kern w:val="0"/>
          <w:sz w:val="24"/>
          <w:szCs w:val="24"/>
        </w:rPr>
        <w:t>二</w:t>
      </w:r>
      <w:r>
        <w:rPr>
          <w:rFonts w:ascii="Times New Roman" w:hAnsi="Times New Roman" w:eastAsia="微软雅黑" w:cs="Times New Roman"/>
          <w:color w:val="000000"/>
          <w:kern w:val="0"/>
          <w:sz w:val="24"/>
          <w:szCs w:val="24"/>
        </w:rPr>
        <w:t>、</w:t>
      </w:r>
      <w:r>
        <w:rPr>
          <w:rFonts w:hint="eastAsia" w:ascii="Times New Roman" w:hAnsi="Times New Roman" w:eastAsia="微软雅黑" w:cs="Times New Roman"/>
          <w:color w:val="000000"/>
          <w:kern w:val="0"/>
          <w:sz w:val="24"/>
          <w:szCs w:val="24"/>
        </w:rPr>
        <w:t>智慧停车项目整体流程</w:t>
      </w:r>
      <w:bookmarkEnd w:id="18"/>
    </w:p>
    <w:p>
      <w:pPr>
        <w:spacing w:line="360" w:lineRule="auto"/>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drawing>
          <wp:inline distT="0" distB="0" distL="0" distR="0">
            <wp:extent cx="5731510" cy="6474460"/>
            <wp:effectExtent l="0" t="0" r="0" b="2540"/>
            <wp:docPr id="3"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描述已自动生成"/>
                    <pic:cNvPicPr>
                      <a:picLocks noChangeAspect="1"/>
                    </pic:cNvPicPr>
                  </pic:nvPicPr>
                  <pic:blipFill>
                    <a:blip r:embed="rId13"/>
                    <a:stretch>
                      <a:fillRect/>
                    </a:stretch>
                  </pic:blipFill>
                  <pic:spPr>
                    <a:xfrm>
                      <a:off x="0" y="0"/>
                      <a:ext cx="5731510" cy="6474460"/>
                    </a:xfrm>
                    <a:prstGeom prst="rect">
                      <a:avLst/>
                    </a:prstGeom>
                  </pic:spPr>
                </pic:pic>
              </a:graphicData>
            </a:graphic>
          </wp:inline>
        </w:drawing>
      </w:r>
    </w:p>
    <w:p>
      <w:pPr>
        <w:spacing w:line="360" w:lineRule="auto"/>
        <w:ind w:firstLine="480" w:firstLineChars="200"/>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本</w:t>
      </w:r>
      <w:r>
        <w:rPr>
          <w:rFonts w:hint="eastAsia" w:ascii="Times New Roman" w:hAnsi="Times New Roman" w:eastAsia="宋体" w:cs="Times New Roman"/>
          <w:color w:val="000000"/>
          <w:kern w:val="0"/>
          <w:sz w:val="24"/>
          <w:szCs w:val="24"/>
        </w:rPr>
        <w:t>类</w:t>
      </w:r>
      <w:r>
        <w:rPr>
          <w:rFonts w:ascii="Times New Roman" w:hAnsi="Times New Roman" w:eastAsia="宋体" w:cs="Times New Roman"/>
          <w:color w:val="000000"/>
          <w:kern w:val="0"/>
          <w:sz w:val="24"/>
          <w:szCs w:val="24"/>
        </w:rPr>
        <w:t>项目的实施</w:t>
      </w:r>
      <w:r>
        <w:rPr>
          <w:rFonts w:hint="eastAsia" w:ascii="Times New Roman" w:hAnsi="Times New Roman" w:eastAsia="宋体" w:cs="Times New Roman"/>
          <w:color w:val="000000"/>
          <w:kern w:val="0"/>
          <w:sz w:val="24"/>
          <w:szCs w:val="24"/>
        </w:rPr>
        <w:t>流程</w:t>
      </w:r>
      <w:r>
        <w:rPr>
          <w:rFonts w:ascii="Times New Roman" w:hAnsi="Times New Roman" w:eastAsia="宋体" w:cs="Times New Roman"/>
          <w:color w:val="000000"/>
          <w:kern w:val="0"/>
          <w:sz w:val="24"/>
          <w:szCs w:val="24"/>
        </w:rPr>
        <w:t xml:space="preserve">如上图所示，主要体现在以下几点： </w:t>
      </w:r>
    </w:p>
    <w:p>
      <w:pPr>
        <w:spacing w:line="360" w:lineRule="auto"/>
        <w:ind w:firstLine="600" w:firstLineChars="250"/>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w:t>
      </w:r>
      <w:r>
        <w:rPr>
          <w:rFonts w:hint="eastAsia" w:ascii="Times New Roman" w:hAnsi="Times New Roman" w:eastAsia="宋体" w:cs="Times New Roman"/>
          <w:color w:val="000000"/>
          <w:kern w:val="0"/>
          <w:sz w:val="24"/>
          <w:szCs w:val="24"/>
        </w:rPr>
        <w:t>成立智慧停车工作领导小组；</w:t>
      </w:r>
    </w:p>
    <w:p>
      <w:pPr>
        <w:spacing w:line="360" w:lineRule="auto"/>
        <w:ind w:firstLine="600" w:firstLineChars="250"/>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w:t>
      </w:r>
      <w:r>
        <w:rPr>
          <w:rFonts w:hint="eastAsia" w:ascii="Times New Roman" w:hAnsi="Times New Roman" w:eastAsia="宋体" w:cs="Times New Roman"/>
          <w:color w:val="000000"/>
          <w:kern w:val="0"/>
          <w:sz w:val="24"/>
          <w:szCs w:val="24"/>
        </w:rPr>
        <w:t>确定智慧停车实施主体、特许经营模式；</w:t>
      </w:r>
    </w:p>
    <w:p>
      <w:pPr>
        <w:spacing w:line="360" w:lineRule="auto"/>
        <w:ind w:firstLine="600" w:firstLineChars="250"/>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3、</w:t>
      </w:r>
      <w:r>
        <w:rPr>
          <w:rFonts w:hint="eastAsia" w:ascii="Times New Roman" w:hAnsi="Times New Roman" w:eastAsia="宋体" w:cs="Times New Roman"/>
          <w:color w:val="000000"/>
          <w:kern w:val="0"/>
          <w:sz w:val="24"/>
          <w:szCs w:val="24"/>
        </w:rPr>
        <w:t>特许经营项目实施方案编制、可行性评估；</w:t>
      </w:r>
    </w:p>
    <w:p>
      <w:pPr>
        <w:spacing w:line="360" w:lineRule="auto"/>
        <w:ind w:firstLine="600" w:firstLineChars="250"/>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4</w:t>
      </w:r>
      <w:r>
        <w:rPr>
          <w:rFonts w:hint="eastAsia" w:ascii="Times New Roman" w:hAnsi="Times New Roman" w:eastAsia="宋体" w:cs="Times New Roman"/>
          <w:color w:val="000000"/>
          <w:kern w:val="0"/>
          <w:sz w:val="24"/>
          <w:szCs w:val="24"/>
        </w:rPr>
        <w:t>、特许经营项目实施方案的审查、审定；</w:t>
      </w:r>
    </w:p>
    <w:p>
      <w:pPr>
        <w:spacing w:line="360" w:lineRule="auto"/>
        <w:ind w:firstLine="600" w:firstLineChars="25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5、采用本项目选定的模式实施项目（本项目已经确定选择公开招标：由社会资本方实行BOT模式运营）；</w:t>
      </w:r>
    </w:p>
    <w:p>
      <w:pPr>
        <w:spacing w:line="360" w:lineRule="auto"/>
        <w:ind w:firstLine="600" w:firstLineChars="25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6、签订合同（本项目签订特许经营权合同）；</w:t>
      </w:r>
    </w:p>
    <w:p>
      <w:pPr>
        <w:spacing w:line="360" w:lineRule="auto"/>
        <w:ind w:firstLine="600" w:firstLineChars="250"/>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7</w:t>
      </w:r>
      <w:r>
        <w:rPr>
          <w:rFonts w:hint="eastAsia" w:ascii="Times New Roman" w:hAnsi="Times New Roman" w:eastAsia="宋体" w:cs="Times New Roman"/>
          <w:color w:val="000000"/>
          <w:kern w:val="0"/>
          <w:sz w:val="24"/>
          <w:szCs w:val="24"/>
        </w:rPr>
        <w:t>、运营平台及设备安装、调试，同步制定停车收费标准；</w:t>
      </w:r>
    </w:p>
    <w:p>
      <w:pPr>
        <w:spacing w:line="360" w:lineRule="auto"/>
        <w:ind w:firstLine="600" w:firstLineChars="250"/>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8</w:t>
      </w:r>
      <w:r>
        <w:rPr>
          <w:rFonts w:hint="eastAsia" w:ascii="Times New Roman" w:hAnsi="Times New Roman" w:eastAsia="宋体" w:cs="Times New Roman"/>
          <w:color w:val="000000"/>
          <w:kern w:val="0"/>
          <w:sz w:val="24"/>
          <w:szCs w:val="24"/>
        </w:rPr>
        <w:t>、项目正式投入运营。</w:t>
      </w:r>
    </w:p>
    <w:p>
      <w:pPr>
        <w:spacing w:line="360" w:lineRule="auto"/>
        <w:ind w:firstLine="480" w:firstLineChars="200"/>
        <w:rPr>
          <w:rFonts w:ascii="Times New Roman" w:hAnsi="Times New Roman" w:eastAsia="宋体" w:cs="Times New Roman"/>
          <w:color w:val="000000"/>
          <w:kern w:val="0"/>
          <w:sz w:val="24"/>
          <w:szCs w:val="24"/>
        </w:rPr>
      </w:pPr>
    </w:p>
    <w:p>
      <w:pPr>
        <w:spacing w:line="360" w:lineRule="auto"/>
        <w:jc w:val="center"/>
        <w:outlineLvl w:val="0"/>
        <w:rPr>
          <w:rFonts w:ascii="Times New Roman" w:hAnsi="Times New Roman" w:eastAsia="微软雅黑" w:cs="Times New Roman"/>
          <w:b/>
          <w:color w:val="000000"/>
          <w:kern w:val="0"/>
          <w:sz w:val="32"/>
          <w:szCs w:val="24"/>
        </w:rPr>
      </w:pPr>
      <w:r>
        <w:rPr>
          <w:rFonts w:ascii="Times New Roman" w:hAnsi="Times New Roman" w:eastAsia="微软雅黑" w:cs="Times New Roman"/>
          <w:b/>
          <w:color w:val="000000"/>
          <w:kern w:val="0"/>
          <w:sz w:val="32"/>
          <w:szCs w:val="24"/>
        </w:rPr>
        <w:br w:type="page"/>
      </w:r>
    </w:p>
    <w:p>
      <w:pPr>
        <w:spacing w:line="360" w:lineRule="auto"/>
        <w:jc w:val="center"/>
        <w:outlineLvl w:val="0"/>
        <w:rPr>
          <w:rFonts w:ascii="Times New Roman" w:hAnsi="Times New Roman" w:eastAsia="微软雅黑" w:cs="Times New Roman"/>
          <w:b/>
          <w:color w:val="000000"/>
          <w:kern w:val="0"/>
          <w:sz w:val="32"/>
          <w:szCs w:val="24"/>
        </w:rPr>
      </w:pPr>
      <w:bookmarkStart w:id="19" w:name="_Toc75531154"/>
      <w:r>
        <w:rPr>
          <w:rFonts w:ascii="Times New Roman" w:hAnsi="Times New Roman" w:eastAsia="微软雅黑" w:cs="Times New Roman"/>
          <w:b/>
          <w:color w:val="000000"/>
          <w:kern w:val="0"/>
          <w:sz w:val="32"/>
          <w:szCs w:val="24"/>
        </w:rPr>
        <w:t>第五章 项目实施的主要经济指标</w:t>
      </w:r>
      <w:bookmarkEnd w:id="19"/>
    </w:p>
    <w:p>
      <w:pPr>
        <w:spacing w:line="360" w:lineRule="auto"/>
        <w:ind w:firstLine="480" w:firstLineChars="200"/>
        <w:outlineLvl w:val="1"/>
        <w:rPr>
          <w:rFonts w:ascii="Times New Roman" w:hAnsi="Times New Roman" w:eastAsia="微软雅黑" w:cs="Times New Roman"/>
          <w:color w:val="000000"/>
          <w:kern w:val="0"/>
          <w:sz w:val="24"/>
          <w:szCs w:val="24"/>
        </w:rPr>
      </w:pPr>
      <w:bookmarkStart w:id="20" w:name="_Toc75531155"/>
      <w:r>
        <w:rPr>
          <w:rFonts w:ascii="Times New Roman" w:hAnsi="Times New Roman" w:eastAsia="微软雅黑" w:cs="Times New Roman"/>
          <w:color w:val="000000"/>
          <w:kern w:val="0"/>
          <w:sz w:val="24"/>
          <w:szCs w:val="24"/>
        </w:rPr>
        <w:t>一、</w:t>
      </w:r>
      <w:r>
        <w:rPr>
          <w:rFonts w:hint="eastAsia" w:ascii="Times New Roman" w:hAnsi="Times New Roman" w:eastAsia="微软雅黑" w:cs="Times New Roman"/>
          <w:color w:val="000000"/>
          <w:kern w:val="0"/>
          <w:sz w:val="24"/>
          <w:szCs w:val="24"/>
        </w:rPr>
        <w:t>主要依据</w:t>
      </w:r>
      <w:bookmarkEnd w:id="20"/>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1、《建设项目经评价方法与参数的通知》（第三版），国家计委建设部发行；</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2、《投资项目经济咨询评估指南》，中国国际工程咨询公司编著；</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3、企业《财务通则》、《会计准则》；</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4、其他有关经济法规和文件。</w:t>
      </w:r>
    </w:p>
    <w:p>
      <w:pPr>
        <w:spacing w:line="360" w:lineRule="auto"/>
        <w:ind w:firstLine="480" w:firstLineChars="200"/>
        <w:outlineLvl w:val="1"/>
        <w:rPr>
          <w:rFonts w:ascii="Times New Roman" w:hAnsi="Times New Roman" w:eastAsia="微软雅黑" w:cs="Times New Roman"/>
          <w:color w:val="000000"/>
          <w:kern w:val="0"/>
          <w:sz w:val="24"/>
          <w:szCs w:val="24"/>
        </w:rPr>
      </w:pPr>
      <w:bookmarkStart w:id="21" w:name="_Toc75531156"/>
      <w:r>
        <w:rPr>
          <w:rFonts w:ascii="Times New Roman" w:hAnsi="Times New Roman" w:eastAsia="微软雅黑" w:cs="Times New Roman"/>
          <w:color w:val="000000"/>
          <w:kern w:val="0"/>
          <w:sz w:val="24"/>
          <w:szCs w:val="24"/>
        </w:rPr>
        <w:t>二、</w:t>
      </w:r>
      <w:r>
        <w:rPr>
          <w:rFonts w:hint="eastAsia" w:ascii="Times New Roman" w:hAnsi="Times New Roman" w:eastAsia="微软雅黑" w:cs="Times New Roman"/>
          <w:color w:val="000000"/>
          <w:kern w:val="0"/>
          <w:sz w:val="24"/>
          <w:szCs w:val="24"/>
        </w:rPr>
        <w:t>财务评价</w:t>
      </w:r>
      <w:bookmarkEnd w:id="21"/>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本项目运用科学评估方法进行测算（定量分析），并予以一定的保险系数，提出具体建议。</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本项目由社会运营机构采用BOT模式运营，政府定时按数量收取固定租金，由中标企业建设运营，自负盈亏，本次财务评价根据常规情况予以测算企业运营的财务可行性。本次评价不考虑根据市场情况运营期间如广告等其他渠道收入等因素。</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本次测算仅限路内的</w:t>
      </w:r>
      <w:r>
        <w:rPr>
          <w:rFonts w:ascii="Times New Roman" w:hAnsi="Times New Roman" w:eastAsia="宋体" w:cs="Times New Roman"/>
          <w:color w:val="000000"/>
          <w:kern w:val="0"/>
          <w:sz w:val="24"/>
          <w:szCs w:val="24"/>
        </w:rPr>
        <w:t>6450</w:t>
      </w:r>
      <w:r>
        <w:rPr>
          <w:rFonts w:hint="eastAsia" w:ascii="Times New Roman" w:hAnsi="Times New Roman" w:eastAsia="宋体" w:cs="Times New Roman"/>
          <w:color w:val="000000"/>
          <w:kern w:val="0"/>
          <w:sz w:val="24"/>
          <w:szCs w:val="24"/>
        </w:rPr>
        <w:t>个车位，第一期建设车位数为2481个，其他车位在两年内完成整体投资。</w:t>
      </w:r>
    </w:p>
    <w:p>
      <w:pPr>
        <w:spacing w:line="360" w:lineRule="auto"/>
        <w:ind w:firstLine="480" w:firstLineChars="200"/>
        <w:rPr>
          <w:rFonts w:ascii="Times New Roman" w:hAnsi="Times New Roman" w:eastAsia="宋体" w:cs="Times New Roman"/>
          <w:color w:val="000000"/>
          <w:kern w:val="0"/>
          <w:sz w:val="24"/>
          <w:szCs w:val="24"/>
        </w:rPr>
      </w:pPr>
      <w:bookmarkStart w:id="22" w:name="_Toc110066192"/>
      <w:bookmarkStart w:id="23" w:name="_Toc17251464"/>
      <w:bookmarkStart w:id="24" w:name="_Toc110247187"/>
      <w:r>
        <w:rPr>
          <w:rFonts w:hint="eastAsia" w:ascii="Times New Roman" w:hAnsi="Times New Roman" w:eastAsia="宋体" w:cs="Times New Roman"/>
          <w:color w:val="000000"/>
          <w:kern w:val="0"/>
          <w:sz w:val="24"/>
          <w:szCs w:val="24"/>
        </w:rPr>
        <w:t>1、开发期限</w:t>
      </w:r>
      <w:bookmarkEnd w:id="22"/>
      <w:bookmarkEnd w:id="23"/>
      <w:bookmarkEnd w:id="24"/>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本项目建设期间，投资企业所承担的项目筹建费用以及项目开办费等均已经全部统计并且纳入了静态建造成本之中，因此在进行经济效益分析时不再另外单独分列。</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项目运营期为1</w:t>
      </w:r>
      <w:r>
        <w:rPr>
          <w:rFonts w:ascii="Times New Roman" w:hAnsi="Times New Roman" w:eastAsia="宋体" w:cs="Times New Roman"/>
          <w:color w:val="000000"/>
          <w:kern w:val="0"/>
          <w:sz w:val="24"/>
          <w:szCs w:val="24"/>
        </w:rPr>
        <w:t>2</w:t>
      </w:r>
      <w:r>
        <w:rPr>
          <w:rFonts w:hint="eastAsia" w:ascii="Times New Roman" w:hAnsi="Times New Roman" w:eastAsia="宋体" w:cs="Times New Roman"/>
          <w:color w:val="000000"/>
          <w:kern w:val="0"/>
          <w:sz w:val="24"/>
          <w:szCs w:val="24"/>
        </w:rPr>
        <w:t>年。其中设备寿命期为5年，每5年需进行一次设备升级或更换。</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2、停车位</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 xml:space="preserve"> </w:t>
      </w:r>
      <w:r>
        <w:rPr>
          <w:rFonts w:ascii="Times New Roman" w:hAnsi="Times New Roman" w:eastAsia="宋体" w:cs="Times New Roman"/>
          <w:color w:val="000000"/>
          <w:kern w:val="0"/>
          <w:sz w:val="24"/>
          <w:szCs w:val="24"/>
        </w:rPr>
        <w:t xml:space="preserve">   </w:t>
      </w:r>
      <w:r>
        <w:rPr>
          <w:rFonts w:hint="eastAsia" w:ascii="Times New Roman" w:hAnsi="Times New Roman" w:eastAsia="宋体" w:cs="Times New Roman"/>
          <w:color w:val="000000"/>
          <w:kern w:val="0"/>
          <w:sz w:val="24"/>
          <w:szCs w:val="24"/>
        </w:rPr>
        <w:t>根据前述规划停车位和对应技术标准建设。</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3、人员配置</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根据本项目的情况，预测人员配置如表：</w:t>
      </w:r>
    </w:p>
    <w:tbl>
      <w:tblPr>
        <w:tblStyle w:val="11"/>
        <w:tblW w:w="8378" w:type="dxa"/>
        <w:tblInd w:w="0" w:type="dxa"/>
        <w:tblLayout w:type="autofit"/>
        <w:tblCellMar>
          <w:top w:w="0" w:type="dxa"/>
          <w:left w:w="108" w:type="dxa"/>
          <w:bottom w:w="0" w:type="dxa"/>
          <w:right w:w="108" w:type="dxa"/>
        </w:tblCellMar>
      </w:tblPr>
      <w:tblGrid>
        <w:gridCol w:w="5716"/>
        <w:gridCol w:w="2662"/>
      </w:tblGrid>
      <w:tr>
        <w:tblPrEx>
          <w:tblCellMar>
            <w:top w:w="0" w:type="dxa"/>
            <w:left w:w="108" w:type="dxa"/>
            <w:bottom w:w="0" w:type="dxa"/>
            <w:right w:w="108" w:type="dxa"/>
          </w:tblCellMar>
        </w:tblPrEx>
        <w:trPr>
          <w:trHeight w:val="321" w:hRule="atLeast"/>
        </w:trPr>
        <w:tc>
          <w:tcPr>
            <w:tcW w:w="571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pPr>
            <w:r>
              <w:rPr>
                <w:rFonts w:hint="eastAsia"/>
              </w:rPr>
              <w:t>项目</w:t>
            </w:r>
          </w:p>
        </w:tc>
        <w:tc>
          <w:tcPr>
            <w:tcW w:w="2662" w:type="dxa"/>
            <w:tcBorders>
              <w:top w:val="single" w:color="auto" w:sz="4" w:space="0"/>
              <w:left w:val="nil"/>
              <w:bottom w:val="single" w:color="auto" w:sz="4" w:space="0"/>
              <w:right w:val="single" w:color="auto" w:sz="4" w:space="0"/>
            </w:tcBorders>
            <w:shd w:val="clear" w:color="auto" w:fill="auto"/>
            <w:noWrap/>
            <w:vAlign w:val="center"/>
          </w:tcPr>
          <w:p>
            <w:pPr>
              <w:jc w:val="center"/>
            </w:pPr>
            <w:r>
              <w:rPr>
                <w:rFonts w:hint="eastAsia"/>
              </w:rPr>
              <w:t>人数（人）</w:t>
            </w:r>
          </w:p>
        </w:tc>
      </w:tr>
      <w:tr>
        <w:tblPrEx>
          <w:tblCellMar>
            <w:top w:w="0" w:type="dxa"/>
            <w:left w:w="108" w:type="dxa"/>
            <w:bottom w:w="0" w:type="dxa"/>
            <w:right w:w="108" w:type="dxa"/>
          </w:tblCellMar>
        </w:tblPrEx>
        <w:trPr>
          <w:trHeight w:val="321" w:hRule="atLeast"/>
        </w:trPr>
        <w:tc>
          <w:tcPr>
            <w:tcW w:w="5716" w:type="dxa"/>
            <w:tcBorders>
              <w:top w:val="nil"/>
              <w:left w:val="single" w:color="auto" w:sz="4" w:space="0"/>
              <w:bottom w:val="single" w:color="auto" w:sz="4" w:space="0"/>
              <w:right w:val="single" w:color="auto" w:sz="4" w:space="0"/>
            </w:tcBorders>
            <w:shd w:val="clear" w:color="auto" w:fill="auto"/>
            <w:noWrap/>
            <w:vAlign w:val="center"/>
          </w:tcPr>
          <w:p>
            <w:pPr>
              <w:jc w:val="center"/>
            </w:pPr>
            <w:r>
              <w:rPr>
                <w:rFonts w:hint="eastAsia"/>
              </w:rPr>
              <w:t>管理人员</w:t>
            </w:r>
          </w:p>
        </w:tc>
        <w:tc>
          <w:tcPr>
            <w:tcW w:w="2662" w:type="dxa"/>
            <w:tcBorders>
              <w:top w:val="nil"/>
              <w:left w:val="nil"/>
              <w:bottom w:val="single" w:color="auto" w:sz="4" w:space="0"/>
              <w:right w:val="single" w:color="auto" w:sz="4" w:space="0"/>
            </w:tcBorders>
            <w:shd w:val="clear" w:color="auto" w:fill="auto"/>
            <w:noWrap/>
            <w:vAlign w:val="center"/>
          </w:tcPr>
          <w:p>
            <w:pPr>
              <w:jc w:val="center"/>
            </w:pPr>
            <w:r>
              <w:rPr>
                <w:rFonts w:hint="eastAsia"/>
              </w:rPr>
              <w:t>1</w:t>
            </w:r>
          </w:p>
        </w:tc>
      </w:tr>
      <w:tr>
        <w:tblPrEx>
          <w:tblCellMar>
            <w:top w:w="0" w:type="dxa"/>
            <w:left w:w="108" w:type="dxa"/>
            <w:bottom w:w="0" w:type="dxa"/>
            <w:right w:w="108" w:type="dxa"/>
          </w:tblCellMar>
        </w:tblPrEx>
        <w:trPr>
          <w:trHeight w:val="321" w:hRule="atLeast"/>
        </w:trPr>
        <w:tc>
          <w:tcPr>
            <w:tcW w:w="5716" w:type="dxa"/>
            <w:tcBorders>
              <w:top w:val="nil"/>
              <w:left w:val="single" w:color="auto" w:sz="4" w:space="0"/>
              <w:bottom w:val="single" w:color="auto" w:sz="4" w:space="0"/>
              <w:right w:val="single" w:color="auto" w:sz="4" w:space="0"/>
            </w:tcBorders>
            <w:shd w:val="clear" w:color="auto" w:fill="auto"/>
            <w:noWrap/>
            <w:vAlign w:val="center"/>
          </w:tcPr>
          <w:p>
            <w:pPr>
              <w:jc w:val="center"/>
            </w:pPr>
            <w:r>
              <w:rPr>
                <w:rFonts w:hint="eastAsia"/>
              </w:rPr>
              <w:t>客服人员</w:t>
            </w:r>
          </w:p>
        </w:tc>
        <w:tc>
          <w:tcPr>
            <w:tcW w:w="2662" w:type="dxa"/>
            <w:tcBorders>
              <w:top w:val="nil"/>
              <w:left w:val="nil"/>
              <w:bottom w:val="single" w:color="auto" w:sz="4" w:space="0"/>
              <w:right w:val="single" w:color="auto" w:sz="4" w:space="0"/>
            </w:tcBorders>
            <w:shd w:val="clear" w:color="auto" w:fill="auto"/>
            <w:noWrap/>
            <w:vAlign w:val="center"/>
          </w:tcPr>
          <w:p>
            <w:pPr>
              <w:jc w:val="center"/>
            </w:pPr>
            <w:r>
              <w:rPr>
                <w:rFonts w:hint="eastAsia"/>
              </w:rPr>
              <w:t>3</w:t>
            </w:r>
          </w:p>
        </w:tc>
      </w:tr>
      <w:tr>
        <w:tblPrEx>
          <w:tblCellMar>
            <w:top w:w="0" w:type="dxa"/>
            <w:left w:w="108" w:type="dxa"/>
            <w:bottom w:w="0" w:type="dxa"/>
            <w:right w:w="108" w:type="dxa"/>
          </w:tblCellMar>
        </w:tblPrEx>
        <w:trPr>
          <w:trHeight w:val="321" w:hRule="atLeast"/>
        </w:trPr>
        <w:tc>
          <w:tcPr>
            <w:tcW w:w="5716" w:type="dxa"/>
            <w:tcBorders>
              <w:top w:val="nil"/>
              <w:left w:val="single" w:color="auto" w:sz="4" w:space="0"/>
              <w:bottom w:val="single" w:color="auto" w:sz="4" w:space="0"/>
              <w:right w:val="single" w:color="auto" w:sz="4" w:space="0"/>
            </w:tcBorders>
            <w:shd w:val="clear" w:color="auto" w:fill="auto"/>
            <w:noWrap/>
            <w:vAlign w:val="center"/>
          </w:tcPr>
          <w:p>
            <w:pPr>
              <w:jc w:val="center"/>
            </w:pPr>
            <w:r>
              <w:rPr>
                <w:rFonts w:hint="eastAsia"/>
              </w:rPr>
              <w:t>财务行政人员</w:t>
            </w:r>
          </w:p>
        </w:tc>
        <w:tc>
          <w:tcPr>
            <w:tcW w:w="2662" w:type="dxa"/>
            <w:tcBorders>
              <w:top w:val="nil"/>
              <w:left w:val="nil"/>
              <w:bottom w:val="single" w:color="auto" w:sz="4" w:space="0"/>
              <w:right w:val="single" w:color="auto" w:sz="4" w:space="0"/>
            </w:tcBorders>
            <w:shd w:val="clear" w:color="auto" w:fill="auto"/>
            <w:noWrap/>
            <w:vAlign w:val="center"/>
          </w:tcPr>
          <w:p>
            <w:pPr>
              <w:jc w:val="center"/>
            </w:pPr>
            <w:r>
              <w:rPr>
                <w:rFonts w:hint="eastAsia"/>
              </w:rPr>
              <w:t>1</w:t>
            </w:r>
          </w:p>
        </w:tc>
      </w:tr>
      <w:tr>
        <w:tblPrEx>
          <w:tblCellMar>
            <w:top w:w="0" w:type="dxa"/>
            <w:left w:w="108" w:type="dxa"/>
            <w:bottom w:w="0" w:type="dxa"/>
            <w:right w:w="108" w:type="dxa"/>
          </w:tblCellMar>
        </w:tblPrEx>
        <w:trPr>
          <w:trHeight w:val="321" w:hRule="atLeast"/>
        </w:trPr>
        <w:tc>
          <w:tcPr>
            <w:tcW w:w="5716" w:type="dxa"/>
            <w:tcBorders>
              <w:top w:val="nil"/>
              <w:left w:val="single" w:color="auto" w:sz="4" w:space="0"/>
              <w:bottom w:val="single" w:color="auto" w:sz="4" w:space="0"/>
              <w:right w:val="single" w:color="auto" w:sz="4" w:space="0"/>
            </w:tcBorders>
            <w:shd w:val="clear" w:color="auto" w:fill="auto"/>
            <w:noWrap/>
            <w:vAlign w:val="center"/>
          </w:tcPr>
          <w:p>
            <w:pPr>
              <w:jc w:val="center"/>
            </w:pPr>
            <w:r>
              <w:rPr>
                <w:rFonts w:hint="eastAsia"/>
              </w:rPr>
              <w:t>技术人员</w:t>
            </w:r>
          </w:p>
        </w:tc>
        <w:tc>
          <w:tcPr>
            <w:tcW w:w="2662" w:type="dxa"/>
            <w:tcBorders>
              <w:top w:val="nil"/>
              <w:left w:val="nil"/>
              <w:bottom w:val="single" w:color="auto" w:sz="4" w:space="0"/>
              <w:right w:val="single" w:color="auto" w:sz="4" w:space="0"/>
            </w:tcBorders>
            <w:shd w:val="clear" w:color="auto" w:fill="auto"/>
            <w:noWrap/>
            <w:vAlign w:val="center"/>
          </w:tcPr>
          <w:p>
            <w:pPr>
              <w:jc w:val="center"/>
            </w:pPr>
            <w:r>
              <w:rPr>
                <w:rFonts w:hint="eastAsia"/>
              </w:rPr>
              <w:t>2</w:t>
            </w:r>
          </w:p>
        </w:tc>
      </w:tr>
      <w:tr>
        <w:tblPrEx>
          <w:tblCellMar>
            <w:top w:w="0" w:type="dxa"/>
            <w:left w:w="108" w:type="dxa"/>
            <w:bottom w:w="0" w:type="dxa"/>
            <w:right w:w="108" w:type="dxa"/>
          </w:tblCellMar>
        </w:tblPrEx>
        <w:trPr>
          <w:trHeight w:val="321" w:hRule="atLeast"/>
        </w:trPr>
        <w:tc>
          <w:tcPr>
            <w:tcW w:w="5716" w:type="dxa"/>
            <w:tcBorders>
              <w:top w:val="nil"/>
              <w:left w:val="single" w:color="auto" w:sz="4" w:space="0"/>
              <w:bottom w:val="single" w:color="auto" w:sz="4" w:space="0"/>
              <w:right w:val="single" w:color="auto" w:sz="4" w:space="0"/>
            </w:tcBorders>
            <w:shd w:val="clear" w:color="auto" w:fill="auto"/>
            <w:noWrap/>
            <w:vAlign w:val="center"/>
          </w:tcPr>
          <w:p>
            <w:pPr>
              <w:jc w:val="center"/>
            </w:pPr>
            <w:r>
              <w:rPr>
                <w:rFonts w:hint="eastAsia"/>
              </w:rPr>
              <w:t>第1年运营人员</w:t>
            </w:r>
          </w:p>
        </w:tc>
        <w:tc>
          <w:tcPr>
            <w:tcW w:w="2662" w:type="dxa"/>
            <w:tcBorders>
              <w:top w:val="nil"/>
              <w:left w:val="nil"/>
              <w:bottom w:val="single" w:color="auto" w:sz="4" w:space="0"/>
              <w:right w:val="single" w:color="auto" w:sz="4" w:space="0"/>
            </w:tcBorders>
            <w:shd w:val="clear" w:color="auto" w:fill="auto"/>
            <w:noWrap/>
            <w:vAlign w:val="center"/>
          </w:tcPr>
          <w:p>
            <w:pPr>
              <w:jc w:val="center"/>
            </w:pPr>
            <w:r>
              <w:rPr>
                <w:rFonts w:hint="eastAsia"/>
              </w:rPr>
              <w:t>13</w:t>
            </w:r>
            <w:r>
              <w:t>5</w:t>
            </w:r>
          </w:p>
        </w:tc>
      </w:tr>
      <w:tr>
        <w:tblPrEx>
          <w:tblCellMar>
            <w:top w:w="0" w:type="dxa"/>
            <w:left w:w="108" w:type="dxa"/>
            <w:bottom w:w="0" w:type="dxa"/>
            <w:right w:w="108" w:type="dxa"/>
          </w:tblCellMar>
        </w:tblPrEx>
        <w:trPr>
          <w:trHeight w:val="321" w:hRule="atLeast"/>
        </w:trPr>
        <w:tc>
          <w:tcPr>
            <w:tcW w:w="5716" w:type="dxa"/>
            <w:tcBorders>
              <w:top w:val="nil"/>
              <w:left w:val="single" w:color="auto" w:sz="4" w:space="0"/>
              <w:bottom w:val="single" w:color="auto" w:sz="4" w:space="0"/>
              <w:right w:val="single" w:color="auto" w:sz="4" w:space="0"/>
            </w:tcBorders>
            <w:shd w:val="clear" w:color="auto" w:fill="auto"/>
            <w:noWrap/>
            <w:vAlign w:val="center"/>
          </w:tcPr>
          <w:p>
            <w:pPr>
              <w:jc w:val="center"/>
            </w:pPr>
            <w:r>
              <w:rPr>
                <w:rFonts w:hint="eastAsia"/>
              </w:rPr>
              <w:t>第2年起运营人员</w:t>
            </w:r>
          </w:p>
        </w:tc>
        <w:tc>
          <w:tcPr>
            <w:tcW w:w="2662" w:type="dxa"/>
            <w:tcBorders>
              <w:top w:val="nil"/>
              <w:left w:val="nil"/>
              <w:bottom w:val="single" w:color="auto" w:sz="4" w:space="0"/>
              <w:right w:val="single" w:color="auto" w:sz="4" w:space="0"/>
            </w:tcBorders>
            <w:shd w:val="clear" w:color="auto" w:fill="auto"/>
            <w:noWrap/>
            <w:vAlign w:val="center"/>
          </w:tcPr>
          <w:p>
            <w:pPr>
              <w:jc w:val="center"/>
            </w:pPr>
            <w:r>
              <w:rPr>
                <w:rFonts w:hint="eastAsia"/>
              </w:rPr>
              <w:t>26</w:t>
            </w:r>
            <w:r>
              <w:t>5</w:t>
            </w:r>
          </w:p>
        </w:tc>
      </w:tr>
      <w:tr>
        <w:tblPrEx>
          <w:tblCellMar>
            <w:top w:w="0" w:type="dxa"/>
            <w:left w:w="108" w:type="dxa"/>
            <w:bottom w:w="0" w:type="dxa"/>
            <w:right w:w="108" w:type="dxa"/>
          </w:tblCellMar>
        </w:tblPrEx>
        <w:trPr>
          <w:trHeight w:val="321" w:hRule="atLeast"/>
        </w:trPr>
        <w:tc>
          <w:tcPr>
            <w:tcW w:w="5716" w:type="dxa"/>
            <w:tcBorders>
              <w:top w:val="nil"/>
              <w:left w:val="single" w:color="auto" w:sz="4" w:space="0"/>
              <w:bottom w:val="single" w:color="auto" w:sz="4" w:space="0"/>
              <w:right w:val="single" w:color="auto" w:sz="4" w:space="0"/>
            </w:tcBorders>
            <w:shd w:val="clear" w:color="auto" w:fill="auto"/>
            <w:noWrap/>
            <w:vAlign w:val="center"/>
          </w:tcPr>
          <w:p>
            <w:pPr>
              <w:jc w:val="center"/>
            </w:pPr>
            <w:r>
              <w:rPr>
                <w:rFonts w:hint="eastAsia"/>
              </w:rPr>
              <w:t>第3年运营人员</w:t>
            </w:r>
          </w:p>
        </w:tc>
        <w:tc>
          <w:tcPr>
            <w:tcW w:w="2662" w:type="dxa"/>
            <w:tcBorders>
              <w:top w:val="nil"/>
              <w:left w:val="nil"/>
              <w:bottom w:val="single" w:color="auto" w:sz="4" w:space="0"/>
              <w:right w:val="single" w:color="auto" w:sz="4" w:space="0"/>
            </w:tcBorders>
            <w:shd w:val="clear" w:color="auto" w:fill="auto"/>
            <w:noWrap/>
            <w:vAlign w:val="center"/>
          </w:tcPr>
          <w:p>
            <w:pPr>
              <w:jc w:val="center"/>
            </w:pPr>
            <w:r>
              <w:rPr>
                <w:rFonts w:hint="eastAsia"/>
              </w:rPr>
              <w:t>2</w:t>
            </w:r>
            <w:r>
              <w:t>00</w:t>
            </w:r>
          </w:p>
        </w:tc>
      </w:tr>
      <w:tr>
        <w:tblPrEx>
          <w:tblCellMar>
            <w:top w:w="0" w:type="dxa"/>
            <w:left w:w="108" w:type="dxa"/>
            <w:bottom w:w="0" w:type="dxa"/>
            <w:right w:w="108" w:type="dxa"/>
          </w:tblCellMar>
        </w:tblPrEx>
        <w:trPr>
          <w:trHeight w:val="321" w:hRule="atLeast"/>
        </w:trPr>
        <w:tc>
          <w:tcPr>
            <w:tcW w:w="5716" w:type="dxa"/>
            <w:tcBorders>
              <w:top w:val="nil"/>
              <w:left w:val="single" w:color="auto" w:sz="4" w:space="0"/>
              <w:bottom w:val="single" w:color="auto" w:sz="4" w:space="0"/>
              <w:right w:val="single" w:color="auto" w:sz="4" w:space="0"/>
            </w:tcBorders>
            <w:shd w:val="clear" w:color="auto" w:fill="auto"/>
            <w:noWrap/>
            <w:vAlign w:val="center"/>
          </w:tcPr>
          <w:p>
            <w:pPr>
              <w:jc w:val="center"/>
            </w:pPr>
            <w:r>
              <w:rPr>
                <w:rFonts w:hint="eastAsia"/>
              </w:rPr>
              <w:t>第4年起运营人员</w:t>
            </w:r>
          </w:p>
        </w:tc>
        <w:tc>
          <w:tcPr>
            <w:tcW w:w="2662" w:type="dxa"/>
            <w:tcBorders>
              <w:top w:val="nil"/>
              <w:left w:val="nil"/>
              <w:bottom w:val="single" w:color="auto" w:sz="4" w:space="0"/>
              <w:right w:val="single" w:color="auto" w:sz="4" w:space="0"/>
            </w:tcBorders>
            <w:shd w:val="clear" w:color="auto" w:fill="auto"/>
            <w:noWrap/>
            <w:vAlign w:val="center"/>
          </w:tcPr>
          <w:p>
            <w:pPr>
              <w:jc w:val="center"/>
            </w:pPr>
            <w:r>
              <w:rPr>
                <w:rFonts w:hint="eastAsia"/>
              </w:rPr>
              <w:t>14</w:t>
            </w:r>
            <w:r>
              <w:t>6</w:t>
            </w:r>
          </w:p>
        </w:tc>
      </w:tr>
      <w:tr>
        <w:tblPrEx>
          <w:tblCellMar>
            <w:top w:w="0" w:type="dxa"/>
            <w:left w:w="108" w:type="dxa"/>
            <w:bottom w:w="0" w:type="dxa"/>
            <w:right w:w="108" w:type="dxa"/>
          </w:tblCellMar>
        </w:tblPrEx>
        <w:trPr>
          <w:trHeight w:val="321" w:hRule="atLeast"/>
        </w:trPr>
        <w:tc>
          <w:tcPr>
            <w:tcW w:w="5716" w:type="dxa"/>
            <w:tcBorders>
              <w:top w:val="nil"/>
              <w:left w:val="single" w:color="auto" w:sz="4" w:space="0"/>
              <w:bottom w:val="single" w:color="auto" w:sz="4" w:space="0"/>
              <w:right w:val="single" w:color="auto" w:sz="4" w:space="0"/>
            </w:tcBorders>
            <w:shd w:val="clear" w:color="auto" w:fill="auto"/>
            <w:noWrap/>
            <w:vAlign w:val="center"/>
          </w:tcPr>
          <w:p>
            <w:pPr>
              <w:jc w:val="center"/>
            </w:pPr>
            <w:r>
              <w:rPr>
                <w:rFonts w:hint="eastAsia"/>
              </w:rPr>
              <w:t>第5-项目结束运营人员</w:t>
            </w:r>
          </w:p>
        </w:tc>
        <w:tc>
          <w:tcPr>
            <w:tcW w:w="2662" w:type="dxa"/>
            <w:tcBorders>
              <w:top w:val="nil"/>
              <w:left w:val="nil"/>
              <w:bottom w:val="single" w:color="auto" w:sz="4" w:space="0"/>
              <w:right w:val="single" w:color="auto" w:sz="4" w:space="0"/>
            </w:tcBorders>
            <w:shd w:val="clear" w:color="auto" w:fill="auto"/>
            <w:noWrap/>
            <w:vAlign w:val="center"/>
          </w:tcPr>
          <w:p>
            <w:pPr>
              <w:jc w:val="center"/>
            </w:pPr>
            <w:r>
              <w:rPr>
                <w:rFonts w:hint="eastAsia"/>
              </w:rPr>
              <w:t>13</w:t>
            </w:r>
            <w:r>
              <w:t>9</w:t>
            </w:r>
          </w:p>
        </w:tc>
      </w:tr>
    </w:tbl>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4、收费标准</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按照前文所提及的收费标准测算。</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5、收入分析、税金说明</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（1）本项目收入主要来自停车管理收费。收费类别分为道路停车和停车场停车，按较为理想的每年</w:t>
      </w:r>
      <w:r>
        <w:rPr>
          <w:rFonts w:ascii="Times New Roman" w:hAnsi="Times New Roman" w:eastAsia="宋体" w:cs="Times New Roman"/>
          <w:color w:val="000000"/>
          <w:kern w:val="0"/>
          <w:sz w:val="24"/>
          <w:szCs w:val="24"/>
        </w:rPr>
        <w:t>20%</w:t>
      </w:r>
      <w:r>
        <w:rPr>
          <w:rFonts w:hint="eastAsia" w:ascii="Times New Roman" w:hAnsi="Times New Roman" w:eastAsia="宋体" w:cs="Times New Roman"/>
          <w:color w:val="000000"/>
          <w:kern w:val="0"/>
          <w:sz w:val="24"/>
          <w:szCs w:val="24"/>
        </w:rPr>
        <w:t>的收入递增。</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（2）由于本项目现实未实施道路停车收费，根据项目实际，类比同类项目：</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一级区域道路白天周转率为5.0辆/白天（预估）；二级区域道路白天周转率为4.0辆/白天（预估）；停车场白天周转率为4.0辆/白天（预估）；所有区域夜间周转率为1辆/夜间（预估）。</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根据30分钟内免费停车以及车位空置情况和供需情况，道路区域日间收费率为30%、停车场日间收费率为1-3年为30%、40%、50%，以后年份为50%；一级区域道路夜间收费率1-3年分别为30%、40%、50%，4-10年为50%；</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白天车辆使用时间预测：1-5年，1小时内收费的占70%，2小时的占20%，3小时以上的占10%；6-10年，1小时内收费的占60%，2小时的占25%，3小时以上的占15%。</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根据以上算法和拟实施的收费标准，结合周边实施智慧停车现阶段停车收费经营收入约为28元/位/天为例，结合本项目当地拟定的收费标准及经济水平，预测本项目停车收费经营收入为10-20元/位/天，假设取中间值1</w:t>
      </w:r>
      <w:r>
        <w:rPr>
          <w:rFonts w:ascii="Times New Roman" w:hAnsi="Times New Roman" w:eastAsia="宋体" w:cs="Times New Roman"/>
          <w:color w:val="000000"/>
          <w:kern w:val="0"/>
          <w:sz w:val="24"/>
          <w:szCs w:val="24"/>
        </w:rPr>
        <w:t>3.5</w:t>
      </w:r>
      <w:r>
        <w:rPr>
          <w:rFonts w:hint="eastAsia" w:ascii="Times New Roman" w:hAnsi="Times New Roman" w:eastAsia="宋体" w:cs="Times New Roman"/>
          <w:color w:val="000000"/>
          <w:kern w:val="0"/>
          <w:sz w:val="24"/>
          <w:szCs w:val="24"/>
        </w:rPr>
        <w:t>元。</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（3）税金及附加说明</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本项目所缴纳的税金包括：</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增值税，按增值额的6%计；</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城市维护建设税按增值税7%计；</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教育费附加按增值税3%计；</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地方教育费附加按增值税的2%计；</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印花税按收入0.05%计。</w:t>
      </w:r>
    </w:p>
    <w:p>
      <w:pPr>
        <w:spacing w:line="360" w:lineRule="auto"/>
        <w:ind w:firstLine="480" w:firstLineChars="200"/>
        <w:outlineLvl w:val="1"/>
        <w:rPr>
          <w:rFonts w:ascii="Times New Roman" w:hAnsi="Times New Roman" w:eastAsia="微软雅黑" w:cs="Times New Roman"/>
          <w:color w:val="000000"/>
          <w:kern w:val="0"/>
          <w:sz w:val="24"/>
          <w:szCs w:val="24"/>
        </w:rPr>
      </w:pPr>
      <w:bookmarkStart w:id="25" w:name="_Toc75531157"/>
      <w:r>
        <w:rPr>
          <w:rFonts w:ascii="Times New Roman" w:hAnsi="Times New Roman" w:eastAsia="微软雅黑" w:cs="Times New Roman"/>
          <w:color w:val="000000"/>
          <w:kern w:val="0"/>
          <w:sz w:val="24"/>
          <w:szCs w:val="24"/>
        </w:rPr>
        <w:t>三、</w:t>
      </w:r>
      <w:r>
        <w:rPr>
          <w:rFonts w:hint="eastAsia" w:ascii="Times New Roman" w:hAnsi="Times New Roman" w:eastAsia="微软雅黑" w:cs="Times New Roman"/>
          <w:color w:val="000000"/>
          <w:kern w:val="0"/>
          <w:sz w:val="24"/>
          <w:szCs w:val="24"/>
        </w:rPr>
        <w:t>总成本分析</w:t>
      </w:r>
      <w:bookmarkEnd w:id="25"/>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本项目的成本主要包括前期投入、经营成本（含财务费用以及向相关政府主管部门缴纳经营权费用）、设备更换、折旧摊销等。</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（1）前期投入：6</w:t>
      </w:r>
      <w:r>
        <w:rPr>
          <w:rFonts w:ascii="Times New Roman" w:hAnsi="Times New Roman" w:eastAsia="宋体" w:cs="Times New Roman"/>
          <w:color w:val="000000"/>
          <w:kern w:val="0"/>
          <w:sz w:val="24"/>
          <w:szCs w:val="24"/>
        </w:rPr>
        <w:t>450</w:t>
      </w:r>
      <w:r>
        <w:rPr>
          <w:rFonts w:hint="eastAsia" w:ascii="Times New Roman" w:hAnsi="Times New Roman" w:eastAsia="宋体" w:cs="Times New Roman"/>
          <w:color w:val="000000"/>
          <w:kern w:val="0"/>
          <w:sz w:val="24"/>
          <w:szCs w:val="24"/>
        </w:rPr>
        <w:t>个停车位全部建成，需投入约</w:t>
      </w:r>
      <w:r>
        <w:rPr>
          <w:rFonts w:ascii="Times New Roman" w:hAnsi="Times New Roman" w:eastAsia="宋体" w:cs="Times New Roman"/>
          <w:color w:val="000000"/>
          <w:kern w:val="0"/>
          <w:sz w:val="24"/>
          <w:szCs w:val="24"/>
        </w:rPr>
        <w:t>4600.95</w:t>
      </w:r>
      <w:r>
        <w:rPr>
          <w:rFonts w:hint="eastAsia" w:ascii="Times New Roman" w:hAnsi="Times New Roman" w:eastAsia="宋体" w:cs="Times New Roman"/>
          <w:color w:val="000000"/>
          <w:kern w:val="0"/>
          <w:sz w:val="24"/>
          <w:szCs w:val="24"/>
        </w:rPr>
        <w:t>万元，所有车位需在两年内完成投资，可分期实施分期投营。每5年需投入投资额的5</w:t>
      </w:r>
      <w:r>
        <w:rPr>
          <w:rFonts w:ascii="Times New Roman" w:hAnsi="Times New Roman" w:eastAsia="宋体" w:cs="Times New Roman"/>
          <w:color w:val="000000"/>
          <w:kern w:val="0"/>
          <w:sz w:val="24"/>
          <w:szCs w:val="24"/>
        </w:rPr>
        <w:t>%</w:t>
      </w:r>
      <w:r>
        <w:rPr>
          <w:rFonts w:hint="eastAsia" w:ascii="Times New Roman" w:hAnsi="Times New Roman" w:eastAsia="宋体" w:cs="Times New Roman"/>
          <w:color w:val="000000"/>
          <w:kern w:val="0"/>
          <w:sz w:val="24"/>
          <w:szCs w:val="24"/>
        </w:rPr>
        <w:t>，1</w:t>
      </w:r>
      <w:r>
        <w:rPr>
          <w:rFonts w:ascii="Times New Roman" w:hAnsi="Times New Roman" w:eastAsia="宋体" w:cs="Times New Roman"/>
          <w:color w:val="000000"/>
          <w:kern w:val="0"/>
          <w:sz w:val="24"/>
          <w:szCs w:val="24"/>
        </w:rPr>
        <w:t>2</w:t>
      </w:r>
      <w:r>
        <w:rPr>
          <w:rFonts w:hint="eastAsia" w:ascii="Times New Roman" w:hAnsi="Times New Roman" w:eastAsia="宋体" w:cs="Times New Roman"/>
          <w:color w:val="000000"/>
          <w:kern w:val="0"/>
          <w:sz w:val="24"/>
          <w:szCs w:val="24"/>
        </w:rPr>
        <w:t>年整个项目的总投资约6</w:t>
      </w:r>
      <w:r>
        <w:rPr>
          <w:rFonts w:ascii="Times New Roman" w:hAnsi="Times New Roman" w:eastAsia="宋体" w:cs="Times New Roman"/>
          <w:color w:val="000000"/>
          <w:kern w:val="0"/>
          <w:sz w:val="24"/>
          <w:szCs w:val="24"/>
        </w:rPr>
        <w:t>301</w:t>
      </w:r>
      <w:r>
        <w:rPr>
          <w:rFonts w:hint="eastAsia" w:ascii="Times New Roman" w:hAnsi="Times New Roman" w:eastAsia="宋体" w:cs="Times New Roman"/>
          <w:color w:val="000000"/>
          <w:kern w:val="0"/>
          <w:sz w:val="24"/>
          <w:szCs w:val="24"/>
        </w:rPr>
        <w:t>.</w:t>
      </w:r>
      <w:r>
        <w:rPr>
          <w:rFonts w:ascii="Times New Roman" w:hAnsi="Times New Roman" w:eastAsia="宋体" w:cs="Times New Roman"/>
          <w:color w:val="000000"/>
          <w:kern w:val="0"/>
          <w:sz w:val="24"/>
          <w:szCs w:val="24"/>
        </w:rPr>
        <w:t>35</w:t>
      </w:r>
      <w:r>
        <w:rPr>
          <w:rFonts w:hint="eastAsia" w:ascii="Times New Roman" w:hAnsi="Times New Roman" w:eastAsia="宋体" w:cs="Times New Roman"/>
          <w:color w:val="000000"/>
          <w:kern w:val="0"/>
          <w:sz w:val="24"/>
          <w:szCs w:val="24"/>
        </w:rPr>
        <w:t>万元。</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（2）经营成本：包括人员工资及福利费用、车辆燃油费用、办公管理费用、运营软件租赁费、设备养护维修和车位划线编码费、财务费用、向相关政府主管部门缴纳经营权费用、其他费用等。</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①人员工资及福利费用</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本项目年薪按经理8万元，行政和财务6万元，技术人员</w:t>
      </w:r>
      <w:r>
        <w:rPr>
          <w:rFonts w:ascii="Times New Roman" w:hAnsi="Times New Roman" w:eastAsia="宋体" w:cs="Times New Roman"/>
          <w:color w:val="000000"/>
          <w:kern w:val="0"/>
          <w:sz w:val="24"/>
          <w:szCs w:val="24"/>
        </w:rPr>
        <w:t>6</w:t>
      </w:r>
      <w:r>
        <w:rPr>
          <w:rFonts w:hint="eastAsia" w:ascii="Times New Roman" w:hAnsi="Times New Roman" w:eastAsia="宋体" w:cs="Times New Roman"/>
          <w:color w:val="000000"/>
          <w:kern w:val="0"/>
          <w:sz w:val="24"/>
          <w:szCs w:val="24"/>
        </w:rPr>
        <w:t>.</w:t>
      </w:r>
      <w:r>
        <w:rPr>
          <w:rFonts w:ascii="Times New Roman" w:hAnsi="Times New Roman" w:eastAsia="宋体" w:cs="Times New Roman"/>
          <w:color w:val="000000"/>
          <w:kern w:val="0"/>
          <w:sz w:val="24"/>
          <w:szCs w:val="24"/>
        </w:rPr>
        <w:t>6</w:t>
      </w:r>
      <w:r>
        <w:rPr>
          <w:rFonts w:hint="eastAsia" w:ascii="Times New Roman" w:hAnsi="Times New Roman" w:eastAsia="宋体" w:cs="Times New Roman"/>
          <w:color w:val="000000"/>
          <w:kern w:val="0"/>
          <w:sz w:val="24"/>
          <w:szCs w:val="24"/>
        </w:rPr>
        <w:t>万元，客服人员为6万元，运营人员为5万元预估。</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②车辆燃油费</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本项目配置工程车1台，每月1500元/台；其他人员车辆为自行车或电动车，各人员各自带备，无需计算燃油费。</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③办公管理费</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包括日常通讯、日常办公费、工作服费、办公场地费、管理费等。根据本项目的人员情况，按营业收入的5%预估。</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④运营软件租赁费</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本项目不存在软件租赁费。</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⑤设备养护维修、车位划线编码费</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占停车系统设备费的10%。</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⑥财务费用</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贷款利率为五年贷款利率4.8%上浮30%暂估，即6.24%。</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⑦向相关政府主管部门缴纳经营权费用</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运营单位每年须向政府主管部门缴纳经营权费用，经营权费用固定，本次暂按</w:t>
      </w:r>
      <w:r>
        <w:rPr>
          <w:rFonts w:ascii="Times New Roman" w:hAnsi="Times New Roman" w:eastAsia="宋体" w:cs="Times New Roman"/>
          <w:color w:val="000000"/>
          <w:kern w:val="0"/>
          <w:sz w:val="24"/>
          <w:szCs w:val="24"/>
        </w:rPr>
        <w:t>1</w:t>
      </w:r>
      <w:r>
        <w:rPr>
          <w:rFonts w:hint="eastAsia" w:ascii="Times New Roman" w:hAnsi="Times New Roman" w:eastAsia="宋体" w:cs="Times New Roman"/>
          <w:color w:val="000000"/>
          <w:kern w:val="0"/>
          <w:sz w:val="24"/>
          <w:szCs w:val="24"/>
        </w:rPr>
        <w:t>元/车位/天进行测算，每</w:t>
      </w:r>
      <w:r>
        <w:rPr>
          <w:rFonts w:ascii="Times New Roman" w:hAnsi="Times New Roman" w:eastAsia="宋体" w:cs="Times New Roman"/>
          <w:color w:val="000000"/>
          <w:kern w:val="0"/>
          <w:sz w:val="24"/>
          <w:szCs w:val="24"/>
        </w:rPr>
        <w:t>3</w:t>
      </w:r>
      <w:r>
        <w:rPr>
          <w:rFonts w:hint="eastAsia" w:ascii="Times New Roman" w:hAnsi="Times New Roman" w:eastAsia="宋体" w:cs="Times New Roman"/>
          <w:color w:val="000000"/>
          <w:kern w:val="0"/>
          <w:sz w:val="24"/>
          <w:szCs w:val="24"/>
        </w:rPr>
        <w:t>年递增</w:t>
      </w:r>
      <w:r>
        <w:rPr>
          <w:rFonts w:ascii="Times New Roman" w:hAnsi="Times New Roman" w:eastAsia="宋体" w:cs="Times New Roman"/>
          <w:color w:val="000000"/>
          <w:kern w:val="0"/>
          <w:sz w:val="24"/>
          <w:szCs w:val="24"/>
        </w:rPr>
        <w:t>3</w:t>
      </w:r>
      <w:r>
        <w:rPr>
          <w:rFonts w:hint="eastAsia" w:ascii="Times New Roman" w:hAnsi="Times New Roman" w:eastAsia="宋体" w:cs="Times New Roman"/>
          <w:color w:val="000000"/>
          <w:kern w:val="0"/>
          <w:sz w:val="24"/>
          <w:szCs w:val="24"/>
        </w:rPr>
        <w:t>%。</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⑧其他费用，按人员工资及福利费用、车辆燃油费用、办公管理费用、运营软件租赁费、设备养护维修和车位划线编码费的</w:t>
      </w:r>
      <w:r>
        <w:rPr>
          <w:rFonts w:ascii="Times New Roman" w:hAnsi="Times New Roman" w:eastAsia="宋体" w:cs="Times New Roman"/>
          <w:color w:val="000000"/>
          <w:kern w:val="0"/>
          <w:sz w:val="24"/>
          <w:szCs w:val="24"/>
        </w:rPr>
        <w:t>5</w:t>
      </w:r>
      <w:r>
        <w:rPr>
          <w:rFonts w:hint="eastAsia" w:ascii="Times New Roman" w:hAnsi="Times New Roman" w:eastAsia="宋体" w:cs="Times New Roman"/>
          <w:color w:val="000000"/>
          <w:kern w:val="0"/>
          <w:sz w:val="24"/>
          <w:szCs w:val="24"/>
        </w:rPr>
        <w:t>%估算。</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（2）设备更换费</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因项目设备的使用寿命为5年，所以在项目的运营期大于5年时，每过5年须更换一次设备，本项目考虑在第五年开始进行设备升级，于第五年和第六年两年完成升级改造。</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（3）折旧摊销费</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前期固定资产折旧固定资产折旧采用直线法平均计算，基础估计使用年限为10年，残值率为0%，年折旧率为10%；设备估计使用年限为5年，残值率为0%，年折旧率为20%。</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运营期中更换的设备估计使用年限为5年，残值率为0%，年折旧率为20%，采用直线法平均计算。</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无形资产及递延资产使用直线法摊销，在运营期前5年摊销完。残值率为0%，年折旧率为20%。</w:t>
      </w:r>
    </w:p>
    <w:p>
      <w:pPr>
        <w:spacing w:line="360" w:lineRule="auto"/>
        <w:ind w:firstLine="360" w:firstLineChars="150"/>
        <w:outlineLvl w:val="1"/>
        <w:rPr>
          <w:rFonts w:ascii="Times New Roman" w:hAnsi="Times New Roman" w:eastAsia="微软雅黑" w:cs="Times New Roman"/>
          <w:color w:val="000000"/>
          <w:kern w:val="0"/>
          <w:sz w:val="24"/>
          <w:szCs w:val="24"/>
        </w:rPr>
      </w:pPr>
      <w:bookmarkStart w:id="26" w:name="_Toc75531158"/>
      <w:r>
        <w:rPr>
          <w:rFonts w:ascii="Times New Roman" w:hAnsi="Times New Roman" w:eastAsia="微软雅黑" w:cs="Times New Roman"/>
          <w:color w:val="000000"/>
          <w:kern w:val="0"/>
          <w:sz w:val="24"/>
          <w:szCs w:val="24"/>
        </w:rPr>
        <w:t>四、</w:t>
      </w:r>
      <w:r>
        <w:rPr>
          <w:rFonts w:hint="eastAsia" w:ascii="Times New Roman" w:hAnsi="Times New Roman" w:eastAsia="微软雅黑" w:cs="Times New Roman"/>
          <w:color w:val="000000"/>
          <w:kern w:val="0"/>
          <w:sz w:val="24"/>
          <w:szCs w:val="24"/>
        </w:rPr>
        <w:t>财务分析结论</w:t>
      </w:r>
      <w:bookmarkEnd w:id="26"/>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根据前述评价，项目的主要经济财务评价指标如下表</w:t>
      </w:r>
      <w:r>
        <w:rPr>
          <w:rFonts w:ascii="Times New Roman" w:hAnsi="Times New Roman" w:eastAsia="宋体" w:cs="Times New Roman"/>
          <w:color w:val="000000"/>
          <w:kern w:val="0"/>
          <w:sz w:val="24"/>
          <w:szCs w:val="24"/>
        </w:rPr>
        <w:t>:</w:t>
      </w:r>
    </w:p>
    <w:p>
      <w:pPr>
        <w:spacing w:line="360" w:lineRule="auto"/>
        <w:ind w:left="2" w:leftChars="-134" w:hanging="283" w:hangingChars="118"/>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drawing>
          <wp:inline distT="0" distB="0" distL="0" distR="0">
            <wp:extent cx="6428740" cy="2383155"/>
            <wp:effectExtent l="0" t="0" r="0" b="444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4"/>
                    <a:stretch>
                      <a:fillRect/>
                    </a:stretch>
                  </pic:blipFill>
                  <pic:spPr>
                    <a:xfrm>
                      <a:off x="0" y="0"/>
                      <a:ext cx="6435158" cy="2385557"/>
                    </a:xfrm>
                    <a:prstGeom prst="rect">
                      <a:avLst/>
                    </a:prstGeom>
                  </pic:spPr>
                </pic:pic>
              </a:graphicData>
            </a:graphic>
          </wp:inline>
        </w:drawing>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经调研和结合上述分析，参考周边已投入并正常运营的区域，再结合江门市及周边城市有关项目经验、设备使用年限及本项目实际情况，如采用BOT社会资本投资模式，建议路段经营权期限为12年，泊位经营权收费第一期约为9</w:t>
      </w:r>
      <w:r>
        <w:rPr>
          <w:rFonts w:ascii="Times New Roman" w:hAnsi="Times New Roman" w:eastAsia="宋体" w:cs="Times New Roman"/>
          <w:color w:val="000000"/>
          <w:kern w:val="0"/>
          <w:sz w:val="24"/>
          <w:szCs w:val="24"/>
        </w:rPr>
        <w:t>1</w:t>
      </w:r>
      <w:r>
        <w:rPr>
          <w:rFonts w:hint="eastAsia" w:ascii="Times New Roman" w:hAnsi="Times New Roman" w:eastAsia="宋体" w:cs="Times New Roman"/>
          <w:color w:val="000000"/>
          <w:kern w:val="0"/>
          <w:sz w:val="24"/>
          <w:szCs w:val="24"/>
        </w:rPr>
        <w:t>万元/年（按1元/车位/天计算），全部泊位完成实施后最低为2</w:t>
      </w:r>
      <w:r>
        <w:rPr>
          <w:rFonts w:ascii="Times New Roman" w:hAnsi="Times New Roman" w:eastAsia="宋体" w:cs="Times New Roman"/>
          <w:color w:val="000000"/>
          <w:kern w:val="0"/>
          <w:sz w:val="24"/>
          <w:szCs w:val="24"/>
        </w:rPr>
        <w:t>35</w:t>
      </w:r>
      <w:r>
        <w:rPr>
          <w:rFonts w:hint="eastAsia" w:ascii="Times New Roman" w:hAnsi="Times New Roman" w:eastAsia="宋体" w:cs="Times New Roman"/>
          <w:color w:val="000000"/>
          <w:kern w:val="0"/>
          <w:sz w:val="24"/>
          <w:szCs w:val="24"/>
        </w:rPr>
        <w:t>万元/年。</w:t>
      </w:r>
    </w:p>
    <w:p>
      <w:pPr>
        <w:spacing w:after="156" w:afterLines="50"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目前，按实施分期实施，根据建设并投入运营的车位数来测算（第一年建设并投入运营泊位数为</w:t>
      </w:r>
      <w:r>
        <w:rPr>
          <w:rFonts w:ascii="Times New Roman" w:hAnsi="Times New Roman" w:eastAsia="宋体" w:cs="Times New Roman"/>
          <w:color w:val="000000"/>
          <w:kern w:val="0"/>
          <w:sz w:val="24"/>
          <w:szCs w:val="24"/>
        </w:rPr>
        <w:t>2481</w:t>
      </w:r>
      <w:r>
        <w:rPr>
          <w:rFonts w:hint="eastAsia" w:ascii="Times New Roman" w:hAnsi="Times New Roman" w:eastAsia="宋体" w:cs="Times New Roman"/>
          <w:color w:val="000000"/>
          <w:kern w:val="0"/>
          <w:sz w:val="24"/>
          <w:szCs w:val="24"/>
        </w:rPr>
        <w:t>个，第二年同时实施第二期和第三期总共为3</w:t>
      </w:r>
      <w:r>
        <w:rPr>
          <w:rFonts w:ascii="Times New Roman" w:hAnsi="Times New Roman" w:eastAsia="宋体" w:cs="Times New Roman"/>
          <w:color w:val="000000"/>
          <w:kern w:val="0"/>
          <w:sz w:val="24"/>
          <w:szCs w:val="24"/>
        </w:rPr>
        <w:t>969</w:t>
      </w:r>
      <w:r>
        <w:rPr>
          <w:rFonts w:hint="eastAsia" w:ascii="Times New Roman" w:hAnsi="Times New Roman" w:eastAsia="宋体" w:cs="Times New Roman"/>
          <w:color w:val="000000"/>
          <w:kern w:val="0"/>
          <w:sz w:val="24"/>
          <w:szCs w:val="24"/>
        </w:rPr>
        <w:t>个，第一期设置试运营期其他不设。经营期为1</w:t>
      </w:r>
      <w:r>
        <w:rPr>
          <w:rFonts w:ascii="Times New Roman" w:hAnsi="Times New Roman" w:eastAsia="宋体" w:cs="Times New Roman"/>
          <w:color w:val="000000"/>
          <w:kern w:val="0"/>
          <w:sz w:val="24"/>
          <w:szCs w:val="24"/>
        </w:rPr>
        <w:t>2</w:t>
      </w:r>
      <w:r>
        <w:rPr>
          <w:rFonts w:hint="eastAsia" w:ascii="Times New Roman" w:hAnsi="Times New Roman" w:eastAsia="宋体" w:cs="Times New Roman"/>
          <w:color w:val="000000"/>
          <w:kern w:val="0"/>
          <w:sz w:val="24"/>
          <w:szCs w:val="24"/>
        </w:rPr>
        <w:t>年，每3年上浮3</w:t>
      </w:r>
      <w:r>
        <w:rPr>
          <w:rFonts w:ascii="Times New Roman" w:hAnsi="Times New Roman" w:eastAsia="宋体" w:cs="Times New Roman"/>
          <w:color w:val="000000"/>
          <w:kern w:val="0"/>
          <w:sz w:val="24"/>
          <w:szCs w:val="24"/>
        </w:rPr>
        <w:t>%</w:t>
      </w:r>
      <w:r>
        <w:rPr>
          <w:rFonts w:hint="eastAsia" w:ascii="Times New Roman" w:hAnsi="Times New Roman" w:eastAsia="宋体" w:cs="Times New Roman"/>
          <w:color w:val="000000"/>
          <w:kern w:val="0"/>
          <w:sz w:val="24"/>
          <w:szCs w:val="24"/>
        </w:rPr>
        <w:t>，1</w:t>
      </w:r>
      <w:r>
        <w:rPr>
          <w:rFonts w:ascii="Times New Roman" w:hAnsi="Times New Roman" w:eastAsia="宋体" w:cs="Times New Roman"/>
          <w:color w:val="000000"/>
          <w:kern w:val="0"/>
          <w:sz w:val="24"/>
          <w:szCs w:val="24"/>
        </w:rPr>
        <w:t>2</w:t>
      </w:r>
      <w:r>
        <w:rPr>
          <w:rFonts w:hint="eastAsia" w:ascii="Times New Roman" w:hAnsi="Times New Roman" w:eastAsia="宋体" w:cs="Times New Roman"/>
          <w:color w:val="000000"/>
          <w:kern w:val="0"/>
          <w:sz w:val="24"/>
          <w:szCs w:val="24"/>
        </w:rPr>
        <w:t>年可为当地政府财政带来特许经营权的保底收入约2</w:t>
      </w:r>
      <w:r>
        <w:rPr>
          <w:rFonts w:ascii="Times New Roman" w:hAnsi="Times New Roman" w:eastAsia="宋体" w:cs="Times New Roman"/>
          <w:color w:val="000000"/>
          <w:kern w:val="0"/>
          <w:sz w:val="24"/>
          <w:szCs w:val="24"/>
        </w:rPr>
        <w:t>810</w:t>
      </w:r>
      <w:r>
        <w:rPr>
          <w:rFonts w:hint="eastAsia" w:ascii="Times New Roman" w:hAnsi="Times New Roman" w:eastAsia="宋体" w:cs="Times New Roman"/>
          <w:color w:val="000000"/>
          <w:kern w:val="0"/>
          <w:sz w:val="24"/>
          <w:szCs w:val="24"/>
        </w:rPr>
        <w:t>万元。</w:t>
      </w:r>
    </w:p>
    <w:p>
      <w:pPr>
        <w:spacing w:after="156" w:afterLines="50"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本项目间接效益主要为增加就业，提升区域经济，创造政府税收等，其中：以项目全部建成全部投入使用计算，为政府十二年可创税收约</w:t>
      </w:r>
      <w:r>
        <w:rPr>
          <w:rFonts w:ascii="Times New Roman" w:hAnsi="Times New Roman" w:eastAsia="宋体" w:cs="Times New Roman"/>
          <w:color w:val="000000"/>
          <w:kern w:val="0"/>
          <w:sz w:val="24"/>
          <w:szCs w:val="24"/>
        </w:rPr>
        <w:t>1.3</w:t>
      </w:r>
      <w:r>
        <w:rPr>
          <w:rFonts w:hint="eastAsia" w:ascii="Times New Roman" w:hAnsi="Times New Roman" w:eastAsia="宋体" w:cs="Times New Roman"/>
          <w:color w:val="000000"/>
          <w:kern w:val="0"/>
          <w:sz w:val="24"/>
          <w:szCs w:val="24"/>
        </w:rPr>
        <w:t>亿元左右。可直接或间接最高可解决当地270人左右的就业问题。</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经项目整体财务测算，项目整体回本周期是</w:t>
      </w:r>
      <w:r>
        <w:rPr>
          <w:rFonts w:ascii="Times New Roman" w:hAnsi="Times New Roman" w:eastAsia="宋体" w:cs="Times New Roman"/>
          <w:color w:val="000000"/>
          <w:kern w:val="0"/>
          <w:sz w:val="24"/>
          <w:szCs w:val="24"/>
        </w:rPr>
        <w:t>6.6</w:t>
      </w:r>
      <w:r>
        <w:rPr>
          <w:rFonts w:hint="eastAsia" w:ascii="Times New Roman" w:hAnsi="Times New Roman" w:eastAsia="宋体" w:cs="Times New Roman"/>
          <w:color w:val="000000"/>
          <w:kern w:val="0"/>
          <w:sz w:val="24"/>
          <w:szCs w:val="24"/>
        </w:rPr>
        <w:t>年，企业内部收益率（I</w:t>
      </w:r>
      <w:r>
        <w:rPr>
          <w:rFonts w:ascii="Times New Roman" w:hAnsi="Times New Roman" w:eastAsia="宋体" w:cs="Times New Roman"/>
          <w:color w:val="000000"/>
          <w:kern w:val="0"/>
          <w:sz w:val="24"/>
          <w:szCs w:val="24"/>
        </w:rPr>
        <w:t>RR</w:t>
      </w:r>
      <w:r>
        <w:rPr>
          <w:rFonts w:hint="eastAsia" w:ascii="Times New Roman" w:hAnsi="Times New Roman" w:eastAsia="宋体" w:cs="Times New Roman"/>
          <w:color w:val="000000"/>
          <w:kern w:val="0"/>
          <w:sz w:val="24"/>
          <w:szCs w:val="24"/>
        </w:rPr>
        <w:t>）为</w:t>
      </w:r>
      <w:r>
        <w:rPr>
          <w:rFonts w:ascii="Times New Roman" w:hAnsi="Times New Roman" w:eastAsia="宋体" w:cs="Times New Roman"/>
          <w:color w:val="000000"/>
          <w:kern w:val="0"/>
          <w:sz w:val="24"/>
          <w:szCs w:val="24"/>
        </w:rPr>
        <w:t>25%</w:t>
      </w:r>
      <w:r>
        <w:rPr>
          <w:rFonts w:hint="eastAsia" w:ascii="Times New Roman" w:hAnsi="Times New Roman" w:eastAsia="宋体" w:cs="Times New Roman"/>
          <w:color w:val="000000"/>
          <w:kern w:val="0"/>
          <w:sz w:val="24"/>
          <w:szCs w:val="24"/>
        </w:rPr>
        <w:t>，基本符合正常智慧停车运营商的回本底线。</w:t>
      </w:r>
    </w:p>
    <w:p>
      <w:pPr>
        <w:spacing w:line="360" w:lineRule="auto"/>
        <w:ind w:firstLine="480" w:firstLineChars="200"/>
        <w:outlineLvl w:val="1"/>
        <w:rPr>
          <w:rFonts w:ascii="Times New Roman" w:hAnsi="Times New Roman" w:eastAsia="微软雅黑" w:cs="Times New Roman"/>
          <w:color w:val="000000"/>
          <w:kern w:val="0"/>
          <w:sz w:val="24"/>
          <w:szCs w:val="24"/>
        </w:rPr>
      </w:pPr>
      <w:bookmarkStart w:id="27" w:name="_Toc75531159"/>
      <w:r>
        <w:rPr>
          <w:rFonts w:ascii="Times New Roman" w:hAnsi="Times New Roman" w:eastAsia="微软雅黑" w:cs="Times New Roman"/>
          <w:color w:val="000000"/>
          <w:kern w:val="0"/>
          <w:sz w:val="24"/>
          <w:szCs w:val="24"/>
        </w:rPr>
        <w:t>五、</w:t>
      </w:r>
      <w:r>
        <w:rPr>
          <w:rFonts w:hint="eastAsia" w:ascii="Times New Roman" w:hAnsi="Times New Roman" w:eastAsia="微软雅黑" w:cs="Times New Roman"/>
          <w:color w:val="000000"/>
          <w:kern w:val="0"/>
          <w:sz w:val="24"/>
          <w:szCs w:val="24"/>
        </w:rPr>
        <w:t>政府经营权的收入分析</w:t>
      </w:r>
      <w:bookmarkEnd w:id="27"/>
    </w:p>
    <w:p>
      <w:pPr>
        <w:spacing w:after="156" w:afterLines="50"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对于政府来说，本项目直接效益为政府特许经营权收益，以</w:t>
      </w:r>
      <w:r>
        <w:rPr>
          <w:rFonts w:ascii="Times New Roman" w:hAnsi="Times New Roman" w:eastAsia="宋体" w:cs="Times New Roman"/>
          <w:color w:val="000000"/>
          <w:kern w:val="0"/>
          <w:sz w:val="24"/>
          <w:szCs w:val="24"/>
        </w:rPr>
        <w:t>6450</w:t>
      </w:r>
      <w:r>
        <w:rPr>
          <w:rFonts w:hint="eastAsia" w:ascii="Times New Roman" w:hAnsi="Times New Roman" w:eastAsia="宋体" w:cs="Times New Roman"/>
          <w:color w:val="000000"/>
          <w:kern w:val="0"/>
          <w:sz w:val="24"/>
          <w:szCs w:val="24"/>
        </w:rPr>
        <w:t>个停车位个车位的经营权收益，按业界评估是分析投资方在项目的内部收益率，一般不低于8</w:t>
      </w:r>
      <w:r>
        <w:rPr>
          <w:rFonts w:ascii="Times New Roman" w:hAnsi="Times New Roman" w:eastAsia="宋体" w:cs="Times New Roman"/>
          <w:color w:val="000000"/>
          <w:kern w:val="0"/>
          <w:sz w:val="24"/>
          <w:szCs w:val="24"/>
        </w:rPr>
        <w:t>%</w:t>
      </w:r>
      <w:r>
        <w:rPr>
          <w:rFonts w:hint="eastAsia" w:ascii="Times New Roman" w:hAnsi="Times New Roman" w:eastAsia="宋体" w:cs="Times New Roman"/>
          <w:color w:val="000000"/>
          <w:kern w:val="0"/>
          <w:sz w:val="24"/>
          <w:szCs w:val="24"/>
        </w:rPr>
        <w:t>。因此设按一个车位每天最低为1元计算，经营期为1</w:t>
      </w:r>
      <w:r>
        <w:rPr>
          <w:rFonts w:ascii="Times New Roman" w:hAnsi="Times New Roman" w:eastAsia="宋体" w:cs="Times New Roman"/>
          <w:color w:val="000000"/>
          <w:kern w:val="0"/>
          <w:sz w:val="24"/>
          <w:szCs w:val="24"/>
        </w:rPr>
        <w:t>2</w:t>
      </w:r>
      <w:r>
        <w:rPr>
          <w:rFonts w:hint="eastAsia" w:ascii="Times New Roman" w:hAnsi="Times New Roman" w:eastAsia="宋体" w:cs="Times New Roman"/>
          <w:color w:val="000000"/>
          <w:kern w:val="0"/>
          <w:sz w:val="24"/>
          <w:szCs w:val="24"/>
        </w:rPr>
        <w:t>年，每三年最低上浮3</w:t>
      </w:r>
      <w:r>
        <w:rPr>
          <w:rFonts w:ascii="Times New Roman" w:hAnsi="Times New Roman" w:eastAsia="宋体" w:cs="Times New Roman"/>
          <w:color w:val="000000"/>
          <w:kern w:val="0"/>
          <w:sz w:val="24"/>
          <w:szCs w:val="24"/>
        </w:rPr>
        <w:t>%</w:t>
      </w:r>
      <w:r>
        <w:rPr>
          <w:rFonts w:hint="eastAsia" w:ascii="Times New Roman" w:hAnsi="Times New Roman" w:eastAsia="宋体" w:cs="Times New Roman"/>
          <w:color w:val="000000"/>
          <w:kern w:val="0"/>
          <w:sz w:val="24"/>
          <w:szCs w:val="24"/>
        </w:rPr>
        <w:t>，全部车位均实施完成后每年经营权费用的收入应为2</w:t>
      </w:r>
      <w:r>
        <w:rPr>
          <w:rFonts w:ascii="Times New Roman" w:hAnsi="Times New Roman" w:eastAsia="宋体" w:cs="Times New Roman"/>
          <w:color w:val="000000"/>
          <w:kern w:val="0"/>
          <w:sz w:val="24"/>
          <w:szCs w:val="24"/>
        </w:rPr>
        <w:t>35</w:t>
      </w:r>
      <w:r>
        <w:rPr>
          <w:rFonts w:hint="eastAsia" w:ascii="Times New Roman" w:hAnsi="Times New Roman" w:eastAsia="宋体" w:cs="Times New Roman"/>
          <w:color w:val="000000"/>
          <w:kern w:val="0"/>
          <w:sz w:val="24"/>
          <w:szCs w:val="24"/>
        </w:rPr>
        <w:t>万元，通过以上条件测算内部收益率如下：</w:t>
      </w:r>
    </w:p>
    <w:p>
      <w:pPr>
        <w:spacing w:after="156" w:afterLines="50"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1、假设停车费收入每年有</w:t>
      </w:r>
      <w:r>
        <w:rPr>
          <w:rFonts w:ascii="Times New Roman" w:hAnsi="Times New Roman" w:eastAsia="宋体" w:cs="Times New Roman"/>
          <w:color w:val="000000"/>
          <w:kern w:val="0"/>
          <w:sz w:val="24"/>
          <w:szCs w:val="24"/>
        </w:rPr>
        <w:t>20%</w:t>
      </w:r>
      <w:r>
        <w:rPr>
          <w:rFonts w:hint="eastAsia" w:ascii="Times New Roman" w:hAnsi="Times New Roman" w:eastAsia="宋体" w:cs="Times New Roman"/>
          <w:color w:val="000000"/>
          <w:kern w:val="0"/>
          <w:sz w:val="24"/>
          <w:szCs w:val="24"/>
        </w:rPr>
        <w:t>的增幅，企业的内部收益率为2</w:t>
      </w:r>
      <w:r>
        <w:rPr>
          <w:rFonts w:ascii="Times New Roman" w:hAnsi="Times New Roman" w:eastAsia="宋体" w:cs="Times New Roman"/>
          <w:color w:val="000000"/>
          <w:kern w:val="0"/>
          <w:sz w:val="24"/>
          <w:szCs w:val="24"/>
        </w:rPr>
        <w:t>5%</w:t>
      </w:r>
      <w:r>
        <w:rPr>
          <w:rFonts w:hint="eastAsia" w:ascii="Times New Roman" w:hAnsi="Times New Roman" w:eastAsia="宋体" w:cs="Times New Roman"/>
          <w:color w:val="000000"/>
          <w:kern w:val="0"/>
          <w:sz w:val="24"/>
          <w:szCs w:val="24"/>
        </w:rPr>
        <w:t>，回本周期为6</w:t>
      </w:r>
      <w:r>
        <w:rPr>
          <w:rFonts w:ascii="Times New Roman" w:hAnsi="Times New Roman" w:eastAsia="宋体" w:cs="Times New Roman"/>
          <w:color w:val="000000"/>
          <w:kern w:val="0"/>
          <w:sz w:val="24"/>
          <w:szCs w:val="24"/>
        </w:rPr>
        <w:t>.6</w:t>
      </w:r>
      <w:r>
        <w:rPr>
          <w:rFonts w:hint="eastAsia" w:ascii="Times New Roman" w:hAnsi="Times New Roman" w:eastAsia="宋体" w:cs="Times New Roman"/>
          <w:color w:val="000000"/>
          <w:kern w:val="0"/>
          <w:sz w:val="24"/>
          <w:szCs w:val="24"/>
        </w:rPr>
        <w:t>年；</w:t>
      </w:r>
    </w:p>
    <w:p>
      <w:pPr>
        <w:spacing w:after="156" w:afterLines="50" w:line="360" w:lineRule="auto"/>
        <w:ind w:firstLine="480" w:firstLineChars="200"/>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w:t>
      </w:r>
      <w:r>
        <w:rPr>
          <w:rFonts w:hint="eastAsia" w:ascii="Times New Roman" w:hAnsi="Times New Roman" w:eastAsia="宋体" w:cs="Times New Roman"/>
          <w:color w:val="000000"/>
          <w:kern w:val="0"/>
          <w:sz w:val="24"/>
          <w:szCs w:val="24"/>
        </w:rPr>
        <w:t>、假设停车费收入每年为1</w:t>
      </w:r>
      <w:r>
        <w:rPr>
          <w:rFonts w:ascii="Times New Roman" w:hAnsi="Times New Roman" w:eastAsia="宋体" w:cs="Times New Roman"/>
          <w:color w:val="000000"/>
          <w:kern w:val="0"/>
          <w:sz w:val="24"/>
          <w:szCs w:val="24"/>
        </w:rPr>
        <w:t>0%</w:t>
      </w:r>
      <w:r>
        <w:rPr>
          <w:rFonts w:hint="eastAsia" w:ascii="Times New Roman" w:hAnsi="Times New Roman" w:eastAsia="宋体" w:cs="Times New Roman"/>
          <w:color w:val="000000"/>
          <w:kern w:val="0"/>
          <w:sz w:val="24"/>
          <w:szCs w:val="24"/>
        </w:rPr>
        <w:t>的增幅，企业的内部收益率为</w:t>
      </w:r>
      <w:r>
        <w:rPr>
          <w:rFonts w:ascii="Times New Roman" w:hAnsi="Times New Roman" w:eastAsia="宋体" w:cs="Times New Roman"/>
          <w:color w:val="000000"/>
          <w:kern w:val="0"/>
          <w:sz w:val="24"/>
          <w:szCs w:val="24"/>
        </w:rPr>
        <w:t>15%</w:t>
      </w:r>
      <w:r>
        <w:rPr>
          <w:rFonts w:hint="eastAsia" w:ascii="Times New Roman" w:hAnsi="Times New Roman" w:eastAsia="宋体" w:cs="Times New Roman"/>
          <w:color w:val="000000"/>
          <w:kern w:val="0"/>
          <w:sz w:val="24"/>
          <w:szCs w:val="24"/>
        </w:rPr>
        <w:t>，回本周期为7</w:t>
      </w:r>
      <w:r>
        <w:rPr>
          <w:rFonts w:ascii="Times New Roman" w:hAnsi="Times New Roman" w:eastAsia="宋体" w:cs="Times New Roman"/>
          <w:color w:val="000000"/>
          <w:kern w:val="0"/>
          <w:sz w:val="24"/>
          <w:szCs w:val="24"/>
        </w:rPr>
        <w:t>.6</w:t>
      </w:r>
      <w:r>
        <w:rPr>
          <w:rFonts w:hint="eastAsia" w:ascii="Times New Roman" w:hAnsi="Times New Roman" w:eastAsia="宋体" w:cs="Times New Roman"/>
          <w:color w:val="000000"/>
          <w:kern w:val="0"/>
          <w:sz w:val="24"/>
          <w:szCs w:val="24"/>
        </w:rPr>
        <w:t>年；</w:t>
      </w:r>
    </w:p>
    <w:p>
      <w:pPr>
        <w:spacing w:after="156" w:afterLines="50"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3、假设停车费收入每年为</w:t>
      </w:r>
      <w:r>
        <w:rPr>
          <w:rFonts w:ascii="Times New Roman" w:hAnsi="Times New Roman" w:eastAsia="宋体" w:cs="Times New Roman"/>
          <w:color w:val="000000"/>
          <w:kern w:val="0"/>
          <w:sz w:val="24"/>
          <w:szCs w:val="24"/>
        </w:rPr>
        <w:t>5%</w:t>
      </w:r>
      <w:r>
        <w:rPr>
          <w:rFonts w:hint="eastAsia" w:ascii="Times New Roman" w:hAnsi="Times New Roman" w:eastAsia="宋体" w:cs="Times New Roman"/>
          <w:color w:val="000000"/>
          <w:kern w:val="0"/>
          <w:sz w:val="24"/>
          <w:szCs w:val="24"/>
        </w:rPr>
        <w:t>的增幅，企业的内部收益率为9</w:t>
      </w:r>
      <w:r>
        <w:rPr>
          <w:rFonts w:ascii="Times New Roman" w:hAnsi="Times New Roman" w:eastAsia="宋体" w:cs="Times New Roman"/>
          <w:color w:val="000000"/>
          <w:kern w:val="0"/>
          <w:sz w:val="24"/>
          <w:szCs w:val="24"/>
        </w:rPr>
        <w:t>%</w:t>
      </w:r>
      <w:r>
        <w:rPr>
          <w:rFonts w:hint="eastAsia" w:ascii="Times New Roman" w:hAnsi="Times New Roman" w:eastAsia="宋体" w:cs="Times New Roman"/>
          <w:color w:val="000000"/>
          <w:kern w:val="0"/>
          <w:sz w:val="24"/>
          <w:szCs w:val="24"/>
        </w:rPr>
        <w:t>，回本周期为8</w:t>
      </w:r>
      <w:r>
        <w:rPr>
          <w:rFonts w:ascii="Times New Roman" w:hAnsi="Times New Roman" w:eastAsia="宋体" w:cs="Times New Roman"/>
          <w:color w:val="000000"/>
          <w:kern w:val="0"/>
          <w:sz w:val="24"/>
          <w:szCs w:val="24"/>
        </w:rPr>
        <w:t>.5</w:t>
      </w:r>
      <w:r>
        <w:rPr>
          <w:rFonts w:hint="eastAsia" w:ascii="Times New Roman" w:hAnsi="Times New Roman" w:eastAsia="宋体" w:cs="Times New Roman"/>
          <w:color w:val="000000"/>
          <w:kern w:val="0"/>
          <w:sz w:val="24"/>
          <w:szCs w:val="24"/>
        </w:rPr>
        <w:t>年。</w:t>
      </w:r>
    </w:p>
    <w:p>
      <w:pPr>
        <w:spacing w:after="156" w:afterLines="50"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综上所述，因为企业停车费的收入存在一定的不确定性，按照最保守的5</w:t>
      </w:r>
      <w:r>
        <w:rPr>
          <w:rFonts w:ascii="Times New Roman" w:hAnsi="Times New Roman" w:eastAsia="宋体" w:cs="Times New Roman"/>
          <w:color w:val="000000"/>
          <w:kern w:val="0"/>
          <w:sz w:val="24"/>
          <w:szCs w:val="24"/>
        </w:rPr>
        <w:t>%</w:t>
      </w:r>
      <w:r>
        <w:rPr>
          <w:rFonts w:hint="eastAsia" w:ascii="Times New Roman" w:hAnsi="Times New Roman" w:eastAsia="宋体" w:cs="Times New Roman"/>
          <w:color w:val="000000"/>
          <w:kern w:val="0"/>
          <w:sz w:val="24"/>
          <w:szCs w:val="24"/>
        </w:rPr>
        <w:t>收入增幅，勉强符合收益要求门线。对于本项目以“</w:t>
      </w:r>
      <w:r>
        <w:rPr>
          <w:rFonts w:hint="eastAsia" w:ascii="宋体" w:hAnsi="宋体"/>
          <w:kern w:val="0"/>
          <w:sz w:val="24"/>
          <w:szCs w:val="24"/>
        </w:rPr>
        <w:t>坚持公共利益最大化原则</w:t>
      </w:r>
      <w:r>
        <w:rPr>
          <w:rFonts w:hint="eastAsia" w:ascii="Times New Roman" w:hAnsi="Times New Roman" w:eastAsia="宋体" w:cs="Times New Roman"/>
          <w:color w:val="000000"/>
          <w:kern w:val="0"/>
          <w:sz w:val="24"/>
          <w:szCs w:val="24"/>
        </w:rPr>
        <w:t>”，建议设置的经营权费用不宜过高，如设置过高可能会影响运营企业的收益，打击其积极性。</w:t>
      </w:r>
    </w:p>
    <w:p>
      <w:pPr>
        <w:spacing w:after="156" w:afterLines="50"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因此，建议设置车位每天最低为1元计算和每三年最低上浮3</w:t>
      </w:r>
      <w:r>
        <w:rPr>
          <w:rFonts w:ascii="Times New Roman" w:hAnsi="Times New Roman" w:eastAsia="宋体" w:cs="Times New Roman"/>
          <w:color w:val="000000"/>
          <w:kern w:val="0"/>
          <w:sz w:val="24"/>
          <w:szCs w:val="24"/>
        </w:rPr>
        <w:t>%</w:t>
      </w:r>
      <w:r>
        <w:rPr>
          <w:rFonts w:hint="eastAsia" w:ascii="Times New Roman" w:hAnsi="Times New Roman" w:eastAsia="宋体" w:cs="Times New Roman"/>
          <w:color w:val="000000"/>
          <w:kern w:val="0"/>
          <w:sz w:val="24"/>
          <w:szCs w:val="24"/>
        </w:rPr>
        <w:t>为价格评选条件。</w:t>
      </w:r>
    </w:p>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br w:type="page"/>
      </w:r>
    </w:p>
    <w:p>
      <w:pPr>
        <w:spacing w:line="360" w:lineRule="auto"/>
        <w:jc w:val="center"/>
        <w:outlineLvl w:val="0"/>
        <w:rPr>
          <w:rFonts w:ascii="Times New Roman" w:hAnsi="Times New Roman" w:eastAsia="微软雅黑" w:cs="Times New Roman"/>
          <w:b/>
          <w:color w:val="000000"/>
          <w:kern w:val="0"/>
          <w:sz w:val="32"/>
          <w:szCs w:val="24"/>
        </w:rPr>
      </w:pPr>
      <w:bookmarkStart w:id="28" w:name="_Toc75531160"/>
      <w:r>
        <w:rPr>
          <w:rFonts w:ascii="Times New Roman" w:hAnsi="Times New Roman" w:eastAsia="微软雅黑" w:cs="Times New Roman"/>
          <w:b/>
          <w:color w:val="000000"/>
          <w:kern w:val="0"/>
          <w:sz w:val="32"/>
          <w:szCs w:val="24"/>
        </w:rPr>
        <w:t>第六章 项目实施</w:t>
      </w:r>
      <w:r>
        <w:rPr>
          <w:rFonts w:hint="eastAsia" w:ascii="Times New Roman" w:hAnsi="Times New Roman" w:eastAsia="微软雅黑" w:cs="Times New Roman"/>
          <w:b/>
          <w:color w:val="000000"/>
          <w:kern w:val="0"/>
          <w:sz w:val="32"/>
          <w:szCs w:val="24"/>
        </w:rPr>
        <w:t>可行性分析</w:t>
      </w:r>
      <w:bookmarkEnd w:id="28"/>
    </w:p>
    <w:p/>
    <w:p>
      <w:pPr>
        <w:spacing w:line="360" w:lineRule="auto"/>
        <w:ind w:firstLine="480" w:firstLineChars="200"/>
        <w:outlineLvl w:val="1"/>
        <w:rPr>
          <w:rFonts w:ascii="Times New Roman" w:hAnsi="Times New Roman" w:eastAsia="微软雅黑" w:cs="Times New Roman"/>
          <w:color w:val="000000"/>
          <w:kern w:val="0"/>
          <w:sz w:val="24"/>
          <w:szCs w:val="24"/>
        </w:rPr>
      </w:pPr>
      <w:bookmarkStart w:id="29" w:name="_Toc75531161"/>
      <w:r>
        <w:rPr>
          <w:rFonts w:ascii="Times New Roman" w:hAnsi="Times New Roman" w:eastAsia="微软雅黑" w:cs="Times New Roman"/>
          <w:color w:val="000000"/>
          <w:kern w:val="0"/>
          <w:sz w:val="24"/>
          <w:szCs w:val="24"/>
        </w:rPr>
        <w:t>一、</w:t>
      </w:r>
      <w:r>
        <w:rPr>
          <w:rFonts w:hint="eastAsia" w:ascii="Times New Roman" w:hAnsi="Times New Roman" w:eastAsia="微软雅黑" w:cs="Times New Roman"/>
          <w:color w:val="000000"/>
          <w:kern w:val="0"/>
          <w:sz w:val="24"/>
          <w:szCs w:val="24"/>
        </w:rPr>
        <w:t>经济效益及社会影响分析</w:t>
      </w:r>
      <w:bookmarkEnd w:id="29"/>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本项目实施有助于进一步整合交通资源，规范交通秩序，实现智慧出行、智慧停车，改善交通秩序、交通环境及公众出行体验，提高交通资源利用效率，解决行车难和停车难问题，并提升城区整体交通运行效率和交通安全水平，同时更好地节约能源、减低环境污染、为智慧城市奠定基础。</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1、直接效益</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本项目直接效益为政府特许经营权收益。</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2、间接效益</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本项目间接效益主要为增加就业，提升区域经济，创造政府税收等，其中：以项目全部建成全部投入使用计算，运营期间政府有本地企业税收入和为当地创造就业机会。</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3、其它效益</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本项目实施后其它经济效益主要体现在以下几方面：</w:t>
      </w:r>
    </w:p>
    <w:p>
      <w:pPr>
        <w:pStyle w:val="17"/>
        <w:numPr>
          <w:ilvl w:val="0"/>
          <w:numId w:val="9"/>
        </w:numPr>
        <w:spacing w:line="360" w:lineRule="auto"/>
        <w:ind w:firstLineChars="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减员增效，降低运营成本。</w:t>
      </w:r>
    </w:p>
    <w:p>
      <w:pPr>
        <w:pStyle w:val="17"/>
        <w:numPr>
          <w:ilvl w:val="0"/>
          <w:numId w:val="9"/>
        </w:numPr>
        <w:spacing w:line="360" w:lineRule="auto"/>
        <w:ind w:firstLineChars="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杜绝跑冒滴漏，提高停车场收入。</w:t>
      </w:r>
    </w:p>
    <w:p>
      <w:pPr>
        <w:pStyle w:val="17"/>
        <w:numPr>
          <w:ilvl w:val="0"/>
          <w:numId w:val="9"/>
        </w:numPr>
        <w:spacing w:line="360" w:lineRule="auto"/>
        <w:ind w:firstLineChars="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全面提高停车场管理水平。</w:t>
      </w:r>
    </w:p>
    <w:p>
      <w:pPr>
        <w:pStyle w:val="17"/>
        <w:numPr>
          <w:ilvl w:val="0"/>
          <w:numId w:val="9"/>
        </w:numPr>
        <w:spacing w:line="360" w:lineRule="auto"/>
        <w:ind w:firstLineChars="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智能服务，让车主更满意。</w:t>
      </w:r>
    </w:p>
    <w:p>
      <w:pPr>
        <w:pStyle w:val="17"/>
        <w:numPr>
          <w:ilvl w:val="0"/>
          <w:numId w:val="9"/>
        </w:numPr>
        <w:spacing w:line="360" w:lineRule="auto"/>
        <w:ind w:firstLineChars="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快速通行，解决交通拥堵问题。</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具体数据分析如下：</w:t>
      </w:r>
    </w:p>
    <w:p>
      <w:pPr>
        <w:pStyle w:val="17"/>
        <w:numPr>
          <w:ilvl w:val="0"/>
          <w:numId w:val="10"/>
        </w:numPr>
        <w:spacing w:line="360" w:lineRule="auto"/>
        <w:ind w:firstLineChars="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成本数据分析：</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7"/>
        <w:gridCol w:w="2094"/>
        <w:gridCol w:w="209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437" w:type="dxa"/>
            <w:shd w:val="clear" w:color="auto" w:fill="auto"/>
            <w:vAlign w:val="center"/>
          </w:tcPr>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对比项</w:t>
            </w:r>
          </w:p>
        </w:tc>
        <w:tc>
          <w:tcPr>
            <w:tcW w:w="2094" w:type="dxa"/>
            <w:shd w:val="clear" w:color="auto" w:fill="auto"/>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传统停车位</w:t>
            </w:r>
          </w:p>
        </w:tc>
        <w:tc>
          <w:tcPr>
            <w:tcW w:w="2094" w:type="dxa"/>
            <w:shd w:val="clear" w:color="auto" w:fill="auto"/>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智能停车位</w:t>
            </w:r>
          </w:p>
        </w:tc>
        <w:tc>
          <w:tcPr>
            <w:tcW w:w="1897" w:type="dxa"/>
            <w:shd w:val="clear" w:color="auto" w:fill="auto"/>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提升改善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437" w:type="dxa"/>
            <w:shd w:val="clear" w:color="auto" w:fill="auto"/>
            <w:vAlign w:val="center"/>
          </w:tcPr>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建设成本</w:t>
            </w:r>
          </w:p>
        </w:tc>
        <w:tc>
          <w:tcPr>
            <w:tcW w:w="2094" w:type="dxa"/>
            <w:shd w:val="clear" w:color="auto" w:fill="auto"/>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约4000元/车位</w:t>
            </w:r>
          </w:p>
        </w:tc>
        <w:tc>
          <w:tcPr>
            <w:tcW w:w="2094" w:type="dxa"/>
            <w:shd w:val="clear" w:color="auto" w:fill="auto"/>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约3000元/车位</w:t>
            </w:r>
          </w:p>
        </w:tc>
        <w:tc>
          <w:tcPr>
            <w:tcW w:w="1897" w:type="dxa"/>
            <w:shd w:val="clear" w:color="auto" w:fill="auto"/>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降25%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437" w:type="dxa"/>
            <w:shd w:val="clear" w:color="auto" w:fill="auto"/>
            <w:vAlign w:val="center"/>
          </w:tcPr>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运营维护</w:t>
            </w:r>
          </w:p>
        </w:tc>
        <w:tc>
          <w:tcPr>
            <w:tcW w:w="2094" w:type="dxa"/>
            <w:shd w:val="clear" w:color="auto" w:fill="auto"/>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约400元/车位/年</w:t>
            </w:r>
          </w:p>
        </w:tc>
        <w:tc>
          <w:tcPr>
            <w:tcW w:w="2094" w:type="dxa"/>
            <w:shd w:val="clear" w:color="auto" w:fill="auto"/>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约300元/车位/年</w:t>
            </w:r>
          </w:p>
        </w:tc>
        <w:tc>
          <w:tcPr>
            <w:tcW w:w="1897" w:type="dxa"/>
            <w:shd w:val="clear" w:color="auto" w:fill="auto"/>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降25%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437" w:type="dxa"/>
            <w:shd w:val="clear" w:color="auto" w:fill="auto"/>
            <w:vAlign w:val="center"/>
          </w:tcPr>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人工成本</w:t>
            </w:r>
          </w:p>
        </w:tc>
        <w:tc>
          <w:tcPr>
            <w:tcW w:w="2094" w:type="dxa"/>
            <w:shd w:val="clear" w:color="auto" w:fill="auto"/>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约15车位/人</w:t>
            </w:r>
          </w:p>
        </w:tc>
        <w:tc>
          <w:tcPr>
            <w:tcW w:w="2094" w:type="dxa"/>
            <w:shd w:val="clear" w:color="auto" w:fill="auto"/>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约40车位/人</w:t>
            </w:r>
          </w:p>
        </w:tc>
        <w:tc>
          <w:tcPr>
            <w:tcW w:w="1897" w:type="dxa"/>
            <w:shd w:val="clear" w:color="auto" w:fill="auto"/>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降167%</w:t>
            </w:r>
          </w:p>
        </w:tc>
      </w:tr>
    </w:tbl>
    <w:p>
      <w:pPr>
        <w:pStyle w:val="17"/>
        <w:numPr>
          <w:ilvl w:val="0"/>
          <w:numId w:val="11"/>
        </w:numPr>
        <w:spacing w:line="360" w:lineRule="auto"/>
        <w:ind w:firstLineChars="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停车数据对比：</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6"/>
        <w:gridCol w:w="2094"/>
        <w:gridCol w:w="2094"/>
        <w:gridCol w:w="1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726" w:type="dxa"/>
            <w:shd w:val="clear" w:color="auto" w:fill="auto"/>
            <w:vAlign w:val="center"/>
          </w:tcPr>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对比项</w:t>
            </w:r>
          </w:p>
        </w:tc>
        <w:tc>
          <w:tcPr>
            <w:tcW w:w="2094" w:type="dxa"/>
            <w:shd w:val="clear" w:color="auto" w:fill="auto"/>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传统停车位</w:t>
            </w:r>
          </w:p>
        </w:tc>
        <w:tc>
          <w:tcPr>
            <w:tcW w:w="2094" w:type="dxa"/>
            <w:shd w:val="clear" w:color="auto" w:fill="auto"/>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智能停车位</w:t>
            </w:r>
          </w:p>
        </w:tc>
        <w:tc>
          <w:tcPr>
            <w:tcW w:w="1592" w:type="dxa"/>
            <w:shd w:val="clear" w:color="auto" w:fill="auto"/>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提升改善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726" w:type="dxa"/>
            <w:shd w:val="clear" w:color="auto" w:fill="auto"/>
            <w:vAlign w:val="center"/>
          </w:tcPr>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找车位用时</w:t>
            </w:r>
          </w:p>
        </w:tc>
        <w:tc>
          <w:tcPr>
            <w:tcW w:w="2094" w:type="dxa"/>
            <w:shd w:val="clear" w:color="auto" w:fill="auto"/>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10分钟/辆</w:t>
            </w:r>
          </w:p>
        </w:tc>
        <w:tc>
          <w:tcPr>
            <w:tcW w:w="2094" w:type="dxa"/>
            <w:shd w:val="clear" w:color="auto" w:fill="auto"/>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≤2分钟/辆</w:t>
            </w:r>
          </w:p>
        </w:tc>
        <w:tc>
          <w:tcPr>
            <w:tcW w:w="1592" w:type="dxa"/>
            <w:shd w:val="clear" w:color="auto" w:fill="auto"/>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快80%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726" w:type="dxa"/>
            <w:shd w:val="clear" w:color="auto" w:fill="auto"/>
            <w:vAlign w:val="center"/>
          </w:tcPr>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车位周转率</w:t>
            </w:r>
          </w:p>
        </w:tc>
        <w:tc>
          <w:tcPr>
            <w:tcW w:w="2094" w:type="dxa"/>
            <w:shd w:val="clear" w:color="auto" w:fill="auto"/>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3次/天</w:t>
            </w:r>
          </w:p>
        </w:tc>
        <w:tc>
          <w:tcPr>
            <w:tcW w:w="2094" w:type="dxa"/>
            <w:shd w:val="clear" w:color="auto" w:fill="auto"/>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6-8次/天</w:t>
            </w:r>
          </w:p>
        </w:tc>
        <w:tc>
          <w:tcPr>
            <w:tcW w:w="1592" w:type="dxa"/>
            <w:shd w:val="clear" w:color="auto" w:fill="auto"/>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高100%</w:t>
            </w:r>
          </w:p>
        </w:tc>
      </w:tr>
    </w:tbl>
    <w:p>
      <w:pPr>
        <w:pStyle w:val="17"/>
        <w:numPr>
          <w:ilvl w:val="0"/>
          <w:numId w:val="12"/>
        </w:numPr>
        <w:spacing w:line="360" w:lineRule="auto"/>
        <w:ind w:firstLineChars="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客户体验对比</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9"/>
        <w:gridCol w:w="2560"/>
        <w:gridCol w:w="1887"/>
        <w:gridCol w:w="2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009" w:type="dxa"/>
            <w:shd w:val="clear" w:color="auto" w:fill="auto"/>
            <w:vAlign w:val="center"/>
          </w:tcPr>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对比项</w:t>
            </w:r>
          </w:p>
        </w:tc>
        <w:tc>
          <w:tcPr>
            <w:tcW w:w="2560" w:type="dxa"/>
            <w:shd w:val="clear" w:color="auto" w:fill="auto"/>
            <w:vAlign w:val="center"/>
          </w:tcPr>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传统停车位</w:t>
            </w:r>
          </w:p>
        </w:tc>
        <w:tc>
          <w:tcPr>
            <w:tcW w:w="1887" w:type="dxa"/>
            <w:shd w:val="clear" w:color="auto" w:fill="auto"/>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智能停车位</w:t>
            </w:r>
          </w:p>
        </w:tc>
        <w:tc>
          <w:tcPr>
            <w:tcW w:w="2066" w:type="dxa"/>
            <w:shd w:val="clear" w:color="auto" w:fill="auto"/>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提升改善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009" w:type="dxa"/>
            <w:shd w:val="clear" w:color="auto" w:fill="auto"/>
            <w:vAlign w:val="center"/>
          </w:tcPr>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客户体验</w:t>
            </w:r>
          </w:p>
        </w:tc>
        <w:tc>
          <w:tcPr>
            <w:tcW w:w="2560" w:type="dxa"/>
            <w:shd w:val="clear" w:color="auto" w:fill="auto"/>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传统式，人工式</w:t>
            </w:r>
          </w:p>
        </w:tc>
        <w:tc>
          <w:tcPr>
            <w:tcW w:w="1887" w:type="dxa"/>
            <w:shd w:val="clear" w:color="auto" w:fill="auto"/>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智能化，移动化</w:t>
            </w:r>
          </w:p>
        </w:tc>
        <w:tc>
          <w:tcPr>
            <w:tcW w:w="2066" w:type="dxa"/>
            <w:shd w:val="clear" w:color="auto" w:fill="auto"/>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互联网式新体验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009" w:type="dxa"/>
            <w:shd w:val="clear" w:color="auto" w:fill="auto"/>
            <w:vAlign w:val="center"/>
          </w:tcPr>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智能系统</w:t>
            </w:r>
          </w:p>
        </w:tc>
        <w:tc>
          <w:tcPr>
            <w:tcW w:w="2560" w:type="dxa"/>
            <w:shd w:val="clear" w:color="auto" w:fill="auto"/>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仅提供设备，服务无保障</w:t>
            </w:r>
          </w:p>
        </w:tc>
        <w:tc>
          <w:tcPr>
            <w:tcW w:w="1887" w:type="dxa"/>
            <w:shd w:val="clear" w:color="auto" w:fill="auto"/>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远程智能监测</w:t>
            </w:r>
          </w:p>
        </w:tc>
        <w:tc>
          <w:tcPr>
            <w:tcW w:w="2066" w:type="dxa"/>
            <w:shd w:val="clear" w:color="auto" w:fill="auto"/>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主动预警维护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009" w:type="dxa"/>
            <w:shd w:val="clear" w:color="auto" w:fill="auto"/>
            <w:vAlign w:val="center"/>
          </w:tcPr>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客户满意度</w:t>
            </w:r>
          </w:p>
        </w:tc>
        <w:tc>
          <w:tcPr>
            <w:tcW w:w="2560" w:type="dxa"/>
            <w:shd w:val="clear" w:color="auto" w:fill="auto"/>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一般</w:t>
            </w:r>
          </w:p>
        </w:tc>
        <w:tc>
          <w:tcPr>
            <w:tcW w:w="1887" w:type="dxa"/>
            <w:shd w:val="clear" w:color="auto" w:fill="auto"/>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优</w:t>
            </w:r>
          </w:p>
        </w:tc>
        <w:tc>
          <w:tcPr>
            <w:tcW w:w="2066" w:type="dxa"/>
            <w:shd w:val="clear" w:color="auto" w:fill="auto"/>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满意度高，效益提升</w:t>
            </w:r>
          </w:p>
        </w:tc>
      </w:tr>
    </w:tbl>
    <w:p>
      <w:pPr>
        <w:spacing w:line="360" w:lineRule="auto"/>
        <w:ind w:firstLine="480" w:firstLineChars="200"/>
        <w:outlineLvl w:val="1"/>
        <w:rPr>
          <w:rFonts w:ascii="Times New Roman" w:hAnsi="Times New Roman" w:eastAsia="微软雅黑" w:cs="Times New Roman"/>
          <w:color w:val="000000"/>
          <w:kern w:val="0"/>
          <w:sz w:val="24"/>
          <w:szCs w:val="24"/>
        </w:rPr>
      </w:pPr>
      <w:bookmarkStart w:id="30" w:name="_Toc75531162"/>
      <w:r>
        <w:rPr>
          <w:rFonts w:ascii="Times New Roman" w:hAnsi="Times New Roman" w:eastAsia="微软雅黑" w:cs="Times New Roman"/>
          <w:color w:val="000000"/>
          <w:kern w:val="0"/>
          <w:sz w:val="24"/>
          <w:szCs w:val="24"/>
        </w:rPr>
        <w:t>二、</w:t>
      </w:r>
      <w:r>
        <w:rPr>
          <w:rFonts w:hint="eastAsia" w:ascii="Times New Roman" w:hAnsi="Times New Roman" w:eastAsia="微软雅黑" w:cs="Times New Roman"/>
          <w:color w:val="000000"/>
          <w:kern w:val="0"/>
          <w:sz w:val="24"/>
          <w:szCs w:val="24"/>
        </w:rPr>
        <w:t>社会稳定风险分析</w:t>
      </w:r>
      <w:bookmarkEnd w:id="30"/>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1、社会风险分析</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社会稳定风险，广义上是指一种导致社会冲突，危机社会稳定和社会秩序的可能性，是一类基础性、深层次、结构性的潜在危害因素，对社会的安全运行和健康发展可能造成严重的威胁。一旦这个可能性变成现实性，社会稳定风险就会转变成公共危机。广义的社会稳定风险是一个抽象的概念，它涵盖了生活环境领域、政治领域、经济领域、社会领域和文化领域的各种风险因素。在狭义上，社会稳定风险是指由于所得分配不均、发生天灾、政府施政对抗、结社群斗、失业人口增加造成社会不安、宗教纠纷、社会阶级对立、社会发生内争等社会因素引起的风险，仅指社会领域的风险。</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2、本项目社会稳定风险内容及其评价</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为便于评价表述准确，本报告把风险发生可能性的大小划分成5个等级，可能性由小至大依次表述为：很小、较小、中等、较大、很大，并根据专家经验，界定各类风险发生可能性的大小。</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根据项目实施过程中易发生的社会风险的经验判断，并结合本项目的具体情形，对本项目建设可能会诱发的异议、损失或不适等诸多社会风险及其评价主要如下：</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（1）项目合法性、合理性遭质疑的风险</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风险内容：该项目的决策是否符合法律法规、是否符合党和国家的方针政策，是否有充分的政策、法律依据；该项目是否坚持严格的审查审批和报批程序；是否符合科学发展观要求，是否符合大多数群众的根本利益，并得到大多数群众的理解和支持；是否经过严谨科学的可行性研究论证，是否充分考虑到时间、空间、人力、物力、财力等制约因素；建设方案是否具体、详实，配套措施是否完善。</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本项目项目的建设符合区域相关规划和相关政策，符合科学发展观要求。项目经过充分可行性论证，符合土地使用、管理等有关法律法规。</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风险评价：项目合法性、合理性风险很小。</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（2）群众担忧项目安全的风险</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风险内容：本项目施工期环境风险主要体现在：施工机械造成的噪声污染、扬尘造成的空气污染等环境污染。</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本项目为改建工程，在设计过程中进行工程防范设计、在施工期采取施工风险防范措施，全方位保证项目安全。通过以上安全保护措施的实施，并在建设和运营时对群众进行宣传教育，群众对项目建设的安全顾虑应该能相应消除，对项目安全性的心理担忧并不严重。</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风险评价：采取防治措施后，群众担忧项目安全的风险较小。</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（3）项目可能造成环境破坏的风险</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风险内容：本项目在施工期间，可能会对当地的生态和景观造成一定程度的破坏。在建设期内项目的施工会对地表水、空气、噪声环境等方面产生一定程度的不利影响。施工过程中会产生一定的粉尘和废气，施工机械会有作业噪声，施工物堆料场受降雨冲刷会引起地表径流污染，施工营地生活污水未经处理直排或生活垃圾随意抛弃会引起污染。另外，项目在运营期可能也会对周边环境造成一定程度的影响。</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风险评价：项目造成环境破坏的风险很小。</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本项目的建设运营不可避免对周边环境产生负面影响，不利影响主要表现以下几个方面：</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（1）噪声影响</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项目施工期间：使用的作业机械类型较多，有铲运机、平地机、压路机、沥青砼推铺机、卷扬机、推土机、压路机、混凝土搅拌机械等。这些机械运行时在距声源15m处的噪声值在75～105dB。因该项目部分路段离居民区较近，因此，这些突发性非稳态噪声源将会对周围环境产生一定影响。</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运营期间：项目运营期间的噪声较小。</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（2）大气污染影响</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施工中搬运泥土和水泥、石灰、沙石等的装卸、运输、拌合过程中有大量尘埃散逸到周围环境空气中，同时，施工时，运送物料汽车的行驶，物料堆放期间由于风吹等都会引起扬尘污染，尤其是在风速较大、装卸和车辆行驶速度较快的情况下，粉尘的污染更为严重。</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运送施工材料、设施的车辆，施工机械的运行时排放出的污染物将对空气造成污染。</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（3）水污染的影响</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项目施工期施工面的水土流失、施工人员的生活污水等对附近的水体产生一定程度的污染。一般情况，施工期因污染物量大且集中，因而对水环境有一定污染。因此在施工过程中必须明确：</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在项目初步设计阶段应明确施工营地、物料堆场等的位置。</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施工废水的环境影响：生活料堆场、搅拌站/厂和预制场，则容易因遮阻不善或受暴雨冲刷等原因，使含泥沙、含酸性化学物质的冲洗废水进入水体，甚至建材随暴雨冲刷进入水体，影响水质。</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施工期生活污水的环境影响：施工工地用水包括盥洗、饮用水、食堂、淋浴、洗衣、施工现场生活用水，根据建筑施工手册中规定的用水定额指标，本项目施工期生活用水按中等浓度生活污水水质进行预测，即污水中悬浮物、BOD5和CODCr的浓度根据资料分别取值为220mg/L、200mg/L 和400mg/L、总氮（氨氮+有机氮）40 mg/L、总磷8 mg/L、石油类100 mg/L。上述影响均属短期影响，待施工结束后可完全恢复。</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营运期水环境影响：运营过程中的水环境影响很小，几乎可以忽略。</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（4）固体废物的环境影响</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包括现场施工人员的生活垃圾和道路建筑工地产生的建筑垃圾。垃圾具体由当地环卫部门定期集中收集处理。</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（5）对生态环境的影响</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本项目涉及的土方工程不大，不涉及海域使用，对当地的生态环境影响较小。</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（6）环境影响分析</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本项目施工期、运营期所产生的各种环境影响，通过施工期对生态环境、水环境、声环境、大气环境和固体废物管理采取环保措施予以防治，营运期环境影响较小，各种影响得到减缓与控制，不会对环境与敏感人群造成很大的影响，项目在建设过程中落实好环评提出的各项污染防治措施，符合社会利益、经济利益和环境利益协调统一的原则，从环境影响的角度来看是可行的。项目实施后也不改变现有环境功能区级别，均可满足各环境要素的承受能力，对环境影响均较小。</w:t>
      </w:r>
    </w:p>
    <w:p>
      <w:pPr>
        <w:spacing w:line="360" w:lineRule="auto"/>
        <w:ind w:firstLine="480" w:firstLineChars="200"/>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3</w:t>
      </w:r>
      <w:r>
        <w:rPr>
          <w:rFonts w:hint="eastAsia" w:ascii="Times New Roman" w:hAnsi="Times New Roman" w:eastAsia="宋体" w:cs="Times New Roman"/>
          <w:color w:val="000000"/>
          <w:kern w:val="0"/>
          <w:sz w:val="24"/>
          <w:szCs w:val="24"/>
        </w:rPr>
        <w:t>、本项目社会稳定风险的综合评价</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通过以上对项目可能引发的不利于社会稳定的三大类风险可能性大小进行的单项评价，为便于度量该项目整体风险的大小，有必要对各类风险的可能性大小进行量化，然后得到项目的综合风险大小。</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首先根据专家经验确定每类风险因素的权重W，取值范围为[0，1]，W取值越大表示某类风险在所有风险中的重要性越大。其次确定风险可能性大小的等级值C，一共有5个等级（很小、较小、中等、较大、很大），等级值C按风险可能性由小至大分别取值为0.2，0.4，0.6，0.8，1.0。然后将每类风险因素的权重与等级值相乘，求出该类风险因素的得分（即W*C），把各类风险的得分加总求和即得到综合风险的分值，即∑W*C。综合风险的分值越高，说明项目的风险越大。一般而言，综合风险分值为0.2～0.4时，表示该项目风险低，有引发个体矛盾冲突的可能；分值为0.41～0.7时，表示该项目风险中等，有引发一般性群体性事件的可能；分值为0.71～1.0时，表示该项目风险高，有引发大规模群体性事件的可能。</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本项目综合风险值求取见项目风险评价：</w:t>
      </w:r>
    </w:p>
    <w:tbl>
      <w:tblPr>
        <w:tblStyle w:val="1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05"/>
        <w:gridCol w:w="825"/>
        <w:gridCol w:w="778"/>
        <w:gridCol w:w="778"/>
        <w:gridCol w:w="764"/>
        <w:gridCol w:w="778"/>
        <w:gridCol w:w="767"/>
        <w:gridCol w:w="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058"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风险类别</w:t>
            </w:r>
          </w:p>
        </w:tc>
        <w:tc>
          <w:tcPr>
            <w:tcW w:w="446"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风险权重(W)</w:t>
            </w:r>
          </w:p>
        </w:tc>
        <w:tc>
          <w:tcPr>
            <w:tcW w:w="2091" w:type="pct"/>
            <w:gridSpan w:val="5"/>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风险发生的可能性(C)</w:t>
            </w:r>
          </w:p>
        </w:tc>
        <w:tc>
          <w:tcPr>
            <w:tcW w:w="403"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W*C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058"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firstLine="480" w:firstLineChars="200"/>
              <w:rPr>
                <w:rFonts w:ascii="Times New Roman" w:hAnsi="Times New Roman" w:eastAsia="宋体" w:cs="Times New Roman"/>
                <w:color w:val="000000"/>
                <w:kern w:val="0"/>
                <w:sz w:val="24"/>
                <w:szCs w:val="24"/>
              </w:rPr>
            </w:pPr>
          </w:p>
        </w:tc>
        <w:tc>
          <w:tcPr>
            <w:tcW w:w="446"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firstLine="480" w:firstLineChars="200"/>
              <w:rPr>
                <w:rFonts w:ascii="Times New Roman" w:hAnsi="Times New Roman" w:eastAsia="宋体" w:cs="Times New Roman"/>
                <w:color w:val="000000"/>
                <w:kern w:val="0"/>
                <w:sz w:val="24"/>
                <w:szCs w:val="24"/>
              </w:rPr>
            </w:pPr>
          </w:p>
        </w:tc>
        <w:tc>
          <w:tcPr>
            <w:tcW w:w="4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很小</w:t>
            </w:r>
          </w:p>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0.2</w:t>
            </w:r>
          </w:p>
        </w:tc>
        <w:tc>
          <w:tcPr>
            <w:tcW w:w="4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较小</w:t>
            </w:r>
          </w:p>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0.4</w:t>
            </w:r>
          </w:p>
        </w:tc>
        <w:tc>
          <w:tcPr>
            <w:tcW w:w="413"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中等</w:t>
            </w:r>
          </w:p>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0.6</w:t>
            </w:r>
          </w:p>
        </w:tc>
        <w:tc>
          <w:tcPr>
            <w:tcW w:w="4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较大</w:t>
            </w:r>
          </w:p>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0.8</w:t>
            </w:r>
          </w:p>
        </w:tc>
        <w:tc>
          <w:tcPr>
            <w:tcW w:w="413"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很大</w:t>
            </w:r>
          </w:p>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1.0</w:t>
            </w:r>
          </w:p>
        </w:tc>
        <w:tc>
          <w:tcPr>
            <w:tcW w:w="403"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firstLine="480" w:firstLineChars="200"/>
              <w:rPr>
                <w:rFonts w:ascii="Times New Roman" w:hAnsi="Times New Roman" w:eastAsia="宋体" w:cs="Times New Roman"/>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058"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项目合法性、合理性遭质疑的风险</w:t>
            </w:r>
          </w:p>
        </w:tc>
        <w:tc>
          <w:tcPr>
            <w:tcW w:w="446"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0.10</w:t>
            </w:r>
          </w:p>
        </w:tc>
        <w:tc>
          <w:tcPr>
            <w:tcW w:w="4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w:t>
            </w:r>
          </w:p>
        </w:tc>
        <w:tc>
          <w:tcPr>
            <w:tcW w:w="4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firstLine="480" w:firstLineChars="200"/>
              <w:rPr>
                <w:rFonts w:ascii="Times New Roman" w:hAnsi="Times New Roman" w:eastAsia="宋体" w:cs="Times New Roman"/>
                <w:color w:val="000000"/>
                <w:kern w:val="0"/>
                <w:sz w:val="24"/>
                <w:szCs w:val="24"/>
              </w:rPr>
            </w:pPr>
          </w:p>
        </w:tc>
        <w:tc>
          <w:tcPr>
            <w:tcW w:w="413"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firstLine="480" w:firstLineChars="200"/>
              <w:rPr>
                <w:rFonts w:ascii="Times New Roman" w:hAnsi="Times New Roman" w:eastAsia="宋体" w:cs="Times New Roman"/>
                <w:color w:val="000000"/>
                <w:kern w:val="0"/>
                <w:sz w:val="24"/>
                <w:szCs w:val="24"/>
              </w:rPr>
            </w:pPr>
          </w:p>
        </w:tc>
        <w:tc>
          <w:tcPr>
            <w:tcW w:w="4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firstLine="480" w:firstLineChars="200"/>
              <w:rPr>
                <w:rFonts w:ascii="Times New Roman" w:hAnsi="Times New Roman" w:eastAsia="宋体" w:cs="Times New Roman"/>
                <w:color w:val="000000"/>
                <w:kern w:val="0"/>
                <w:sz w:val="24"/>
                <w:szCs w:val="24"/>
              </w:rPr>
            </w:pPr>
          </w:p>
        </w:tc>
        <w:tc>
          <w:tcPr>
            <w:tcW w:w="413"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firstLine="480" w:firstLineChars="200"/>
              <w:rPr>
                <w:rFonts w:ascii="Times New Roman" w:hAnsi="Times New Roman" w:eastAsia="宋体" w:cs="Times New Roman"/>
                <w:color w:val="000000"/>
                <w:kern w:val="0"/>
                <w:sz w:val="24"/>
                <w:szCs w:val="24"/>
              </w:rPr>
            </w:pPr>
          </w:p>
        </w:tc>
        <w:tc>
          <w:tcPr>
            <w:tcW w:w="403"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058"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群众担忧项目安全的风险</w:t>
            </w:r>
          </w:p>
        </w:tc>
        <w:tc>
          <w:tcPr>
            <w:tcW w:w="446"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0.15</w:t>
            </w:r>
          </w:p>
        </w:tc>
        <w:tc>
          <w:tcPr>
            <w:tcW w:w="4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firstLine="480" w:firstLineChars="200"/>
              <w:rPr>
                <w:rFonts w:ascii="Times New Roman" w:hAnsi="Times New Roman" w:eastAsia="宋体" w:cs="Times New Roman"/>
                <w:color w:val="000000"/>
                <w:kern w:val="0"/>
                <w:sz w:val="24"/>
                <w:szCs w:val="24"/>
              </w:rPr>
            </w:pPr>
          </w:p>
        </w:tc>
        <w:tc>
          <w:tcPr>
            <w:tcW w:w="4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w:t>
            </w:r>
          </w:p>
        </w:tc>
        <w:tc>
          <w:tcPr>
            <w:tcW w:w="413"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firstLine="480" w:firstLineChars="200"/>
              <w:rPr>
                <w:rFonts w:ascii="Times New Roman" w:hAnsi="Times New Roman" w:eastAsia="宋体" w:cs="Times New Roman"/>
                <w:color w:val="000000"/>
                <w:kern w:val="0"/>
                <w:sz w:val="24"/>
                <w:szCs w:val="24"/>
              </w:rPr>
            </w:pPr>
          </w:p>
        </w:tc>
        <w:tc>
          <w:tcPr>
            <w:tcW w:w="4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firstLine="480" w:firstLineChars="200"/>
              <w:rPr>
                <w:rFonts w:ascii="Times New Roman" w:hAnsi="Times New Roman" w:eastAsia="宋体" w:cs="Times New Roman"/>
                <w:color w:val="000000"/>
                <w:kern w:val="0"/>
                <w:sz w:val="24"/>
                <w:szCs w:val="24"/>
              </w:rPr>
            </w:pPr>
          </w:p>
        </w:tc>
        <w:tc>
          <w:tcPr>
            <w:tcW w:w="413"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firstLine="480" w:firstLineChars="200"/>
              <w:rPr>
                <w:rFonts w:ascii="Times New Roman" w:hAnsi="Times New Roman" w:eastAsia="宋体" w:cs="Times New Roman"/>
                <w:color w:val="000000"/>
                <w:kern w:val="0"/>
                <w:sz w:val="24"/>
                <w:szCs w:val="24"/>
              </w:rPr>
            </w:pPr>
          </w:p>
        </w:tc>
        <w:tc>
          <w:tcPr>
            <w:tcW w:w="403"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058"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项目可能造成环境破坏的风险</w:t>
            </w:r>
          </w:p>
        </w:tc>
        <w:tc>
          <w:tcPr>
            <w:tcW w:w="446"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0.10</w:t>
            </w:r>
          </w:p>
        </w:tc>
        <w:tc>
          <w:tcPr>
            <w:tcW w:w="4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w:t>
            </w:r>
          </w:p>
        </w:tc>
        <w:tc>
          <w:tcPr>
            <w:tcW w:w="4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firstLine="480" w:firstLineChars="200"/>
              <w:rPr>
                <w:rFonts w:ascii="Times New Roman" w:hAnsi="Times New Roman" w:eastAsia="宋体" w:cs="Times New Roman"/>
                <w:color w:val="000000"/>
                <w:kern w:val="0"/>
                <w:sz w:val="24"/>
                <w:szCs w:val="24"/>
              </w:rPr>
            </w:pPr>
          </w:p>
        </w:tc>
        <w:tc>
          <w:tcPr>
            <w:tcW w:w="413"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firstLine="480" w:firstLineChars="200"/>
              <w:rPr>
                <w:rFonts w:ascii="Times New Roman" w:hAnsi="Times New Roman" w:eastAsia="宋体" w:cs="Times New Roman"/>
                <w:color w:val="000000"/>
                <w:kern w:val="0"/>
                <w:sz w:val="24"/>
                <w:szCs w:val="24"/>
              </w:rPr>
            </w:pPr>
          </w:p>
        </w:tc>
        <w:tc>
          <w:tcPr>
            <w:tcW w:w="4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firstLine="480" w:firstLineChars="200"/>
              <w:rPr>
                <w:rFonts w:ascii="Times New Roman" w:hAnsi="Times New Roman" w:eastAsia="宋体" w:cs="Times New Roman"/>
                <w:color w:val="000000"/>
                <w:kern w:val="0"/>
                <w:sz w:val="24"/>
                <w:szCs w:val="24"/>
              </w:rPr>
            </w:pPr>
          </w:p>
        </w:tc>
        <w:tc>
          <w:tcPr>
            <w:tcW w:w="413"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firstLine="480" w:firstLineChars="200"/>
              <w:rPr>
                <w:rFonts w:ascii="Times New Roman" w:hAnsi="Times New Roman" w:eastAsia="宋体" w:cs="Times New Roman"/>
                <w:color w:val="000000"/>
                <w:kern w:val="0"/>
                <w:sz w:val="24"/>
                <w:szCs w:val="24"/>
              </w:rPr>
            </w:pPr>
          </w:p>
        </w:tc>
        <w:tc>
          <w:tcPr>
            <w:tcW w:w="403"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0.02</w:t>
            </w:r>
          </w:p>
        </w:tc>
      </w:tr>
    </w:tbl>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从表中可看出，根据专家分析，本项目可能引发的不利于社会稳定的单因素风险值均低于0.18，属于较小风险，风险程度低，意味着项目实施过程中出现群体性事件的可能性不大。</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本项目的综合风险分值为0.10，社会稳定风险等级应为低风险，即多数群众理解支持但少部分人对项目建设期有意见，通过有效工作可防范和化解矛盾。</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建议政府部门和投资单位通过群众问卷调查、座谈调查等形式与上述专家开展的风险分析结果进行对比，并按一定权重进行加权平均确定更准确的风险值。</w:t>
      </w:r>
    </w:p>
    <w:p>
      <w:pPr>
        <w:spacing w:line="360" w:lineRule="auto"/>
        <w:ind w:firstLine="480" w:firstLineChars="200"/>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4</w:t>
      </w:r>
      <w:r>
        <w:rPr>
          <w:rFonts w:hint="eastAsia" w:ascii="Times New Roman" w:hAnsi="Times New Roman" w:eastAsia="宋体" w:cs="Times New Roman"/>
          <w:color w:val="000000"/>
          <w:kern w:val="0"/>
          <w:sz w:val="24"/>
          <w:szCs w:val="24"/>
        </w:rPr>
        <w:t>、本项目风险防范措施分析</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在项目的实施和运营过程中，要注意加强对项目实施和运行过程中可能出现的个体矛盾冲突的防范，并随时戒备和监控项目实施和运行过程中可能出现的风险发生。根据对项目可能诱发的风险及其评价，可采取以下的风险防范措施。</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（1）减少施工期间的扰民</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遵守政府及职能部门的法律法规，严格要求和监督施工单位文明施工，减少扰民，降低对项目周边居民日常生活的影响。施工过程中所产生的垃圾、废水、废气等有可能污染周围环境的，应采取相应措施及时处理，不可随意倾倒、排放，运输车辆在市区穿越时，应注意车速、行驶时间等，水泥、砂和石灰等易洒落散装物料在装卸、使用、转运和临时存放等全部过程中，应采取防风遮盖措施以减少扬尘。</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（2） 完善配套工程，严格执行环境保护措施</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完善配套工程，严格实施对施工期污染的控制措施，执行环境保护措施。加快工程供电、通信等配套工程的实施，严禁乱拉、乱接、偷接、偷排等现象，尽量采取环保材料和节能设计。</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（3） 加强风险预警</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建立风险预警制度，对项目建设和运行过程中发生的不稳定因素进行每日排查。突发事件一旦发生或是出现苗头后，各方力量和人员都能立即投入到位，各司其职，有条不紊开展工作；涉及单位的主要领导要亲临现场，对能解决的问题要现场给予承诺和答复，确保事态不扩大，把不稳定因素的影响控制在最小范围内。</w:t>
      </w:r>
    </w:p>
    <w:p>
      <w:pPr>
        <w:spacing w:line="360" w:lineRule="auto"/>
        <w:ind w:firstLine="480" w:firstLineChars="200"/>
        <w:outlineLvl w:val="1"/>
        <w:rPr>
          <w:rFonts w:ascii="Times New Roman" w:hAnsi="Times New Roman" w:eastAsia="微软雅黑" w:cs="Times New Roman"/>
          <w:color w:val="000000"/>
          <w:kern w:val="0"/>
          <w:sz w:val="24"/>
          <w:szCs w:val="24"/>
        </w:rPr>
      </w:pPr>
      <w:bookmarkStart w:id="31" w:name="_Toc75531163"/>
      <w:r>
        <w:rPr>
          <w:rFonts w:hint="eastAsia" w:ascii="Times New Roman" w:hAnsi="Times New Roman" w:eastAsia="微软雅黑" w:cs="Times New Roman"/>
          <w:color w:val="000000"/>
          <w:kern w:val="0"/>
          <w:sz w:val="24"/>
          <w:szCs w:val="24"/>
        </w:rPr>
        <w:t>三、经济风险分析</w:t>
      </w:r>
      <w:bookmarkEnd w:id="31"/>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本项目采用B</w:t>
      </w:r>
      <w:r>
        <w:rPr>
          <w:rFonts w:ascii="Times New Roman" w:hAnsi="Times New Roman" w:eastAsia="宋体" w:cs="Times New Roman"/>
          <w:color w:val="000000"/>
          <w:kern w:val="0"/>
          <w:sz w:val="24"/>
          <w:szCs w:val="24"/>
        </w:rPr>
        <w:t>OT</w:t>
      </w:r>
      <w:r>
        <w:rPr>
          <w:rFonts w:hint="eastAsia" w:ascii="Times New Roman" w:hAnsi="Times New Roman" w:eastAsia="宋体" w:cs="Times New Roman"/>
          <w:color w:val="000000"/>
          <w:kern w:val="0"/>
          <w:sz w:val="24"/>
          <w:szCs w:val="24"/>
        </w:rPr>
        <w:t>特许经营权模式，由供应运营商自筹资金投资，非政府采购项目，政府不需要投入，没有经济风险。</w:t>
      </w:r>
    </w:p>
    <w:p>
      <w:pPr>
        <w:spacing w:line="360" w:lineRule="auto"/>
        <w:ind w:firstLine="480" w:firstLineChars="200"/>
        <w:outlineLvl w:val="1"/>
        <w:rPr>
          <w:rFonts w:ascii="Times New Roman" w:hAnsi="Times New Roman" w:eastAsia="微软雅黑" w:cs="Times New Roman"/>
          <w:color w:val="000000"/>
          <w:kern w:val="0"/>
          <w:sz w:val="24"/>
          <w:szCs w:val="24"/>
        </w:rPr>
      </w:pPr>
      <w:bookmarkStart w:id="32" w:name="_Toc75531164"/>
      <w:r>
        <w:rPr>
          <w:rFonts w:hint="eastAsia" w:ascii="Times New Roman" w:hAnsi="Times New Roman" w:eastAsia="微软雅黑" w:cs="Times New Roman"/>
          <w:color w:val="000000"/>
          <w:kern w:val="0"/>
          <w:sz w:val="24"/>
          <w:szCs w:val="24"/>
        </w:rPr>
        <w:t>四</w:t>
      </w:r>
      <w:r>
        <w:rPr>
          <w:rFonts w:ascii="Times New Roman" w:hAnsi="Times New Roman" w:eastAsia="微软雅黑" w:cs="Times New Roman"/>
          <w:color w:val="000000"/>
          <w:kern w:val="0"/>
          <w:sz w:val="24"/>
          <w:szCs w:val="24"/>
        </w:rPr>
        <w:t>、</w:t>
      </w:r>
      <w:r>
        <w:rPr>
          <w:rFonts w:hint="eastAsia" w:ascii="Times New Roman" w:hAnsi="Times New Roman" w:eastAsia="微软雅黑" w:cs="Times New Roman"/>
          <w:color w:val="000000"/>
          <w:kern w:val="0"/>
          <w:sz w:val="24"/>
          <w:szCs w:val="24"/>
        </w:rPr>
        <w:t>可行性结论</w:t>
      </w:r>
      <w:bookmarkEnd w:id="32"/>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本项目的实施建设将有助于鹤山市改善城区交通秩序、交通环境及公众出行体验，提高交通资源利用效率，解决行车难和停车难问题，助力鹤山市停车智能化，推动智慧城市建设。</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本项目建设条件较好，建设方案合理，采用B</w:t>
      </w:r>
      <w:r>
        <w:rPr>
          <w:rFonts w:ascii="Times New Roman" w:hAnsi="Times New Roman" w:eastAsia="宋体" w:cs="Times New Roman"/>
          <w:color w:val="000000"/>
          <w:kern w:val="0"/>
          <w:sz w:val="24"/>
          <w:szCs w:val="24"/>
        </w:rPr>
        <w:t>OT</w:t>
      </w:r>
      <w:r>
        <w:rPr>
          <w:rFonts w:hint="eastAsia" w:ascii="Times New Roman" w:hAnsi="Times New Roman" w:eastAsia="宋体" w:cs="Times New Roman"/>
          <w:color w:val="000000"/>
          <w:kern w:val="0"/>
          <w:sz w:val="24"/>
          <w:szCs w:val="24"/>
        </w:rPr>
        <w:t>模式，政府不需要过多投资。要求项目运营方在鹤山市辖区内注册成立具有独立法人资格和控股的项目运营公司，负责该项目在当地的运营管理。</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项目具有良好的经济效益和社会效益，也符合城区未来停车发展的方向及需求。建议政府部门尽快落实相关手续，启动项目建设。</w:t>
      </w:r>
    </w:p>
    <w:p>
      <w:pPr>
        <w:spacing w:line="360" w:lineRule="auto"/>
        <w:rPr>
          <w:rFonts w:ascii="Times New Roman" w:hAnsi="Times New Roman" w:eastAsia="宋体" w:cs="Times New Roman"/>
          <w:color w:val="000000"/>
          <w:kern w:val="0"/>
          <w:sz w:val="24"/>
          <w:szCs w:val="24"/>
        </w:rPr>
      </w:pPr>
    </w:p>
    <w:p>
      <w:pPr>
        <w:spacing w:line="360" w:lineRule="auto"/>
        <w:jc w:val="center"/>
        <w:outlineLvl w:val="0"/>
        <w:rPr>
          <w:rFonts w:ascii="Times New Roman" w:hAnsi="Times New Roman" w:eastAsia="微软雅黑" w:cs="Times New Roman"/>
          <w:b/>
          <w:color w:val="000000"/>
          <w:kern w:val="0"/>
          <w:sz w:val="32"/>
          <w:szCs w:val="24"/>
        </w:rPr>
      </w:pPr>
      <w:bookmarkStart w:id="33" w:name="_Toc75531171"/>
      <w:r>
        <w:rPr>
          <w:rFonts w:ascii="Times New Roman" w:hAnsi="Times New Roman" w:eastAsia="微软雅黑" w:cs="Times New Roman"/>
          <w:b/>
          <w:color w:val="000000"/>
          <w:kern w:val="0"/>
          <w:sz w:val="32"/>
          <w:szCs w:val="24"/>
        </w:rPr>
        <w:t>第</w:t>
      </w:r>
      <w:r>
        <w:rPr>
          <w:rFonts w:hint="eastAsia" w:ascii="Times New Roman" w:hAnsi="Times New Roman" w:eastAsia="微软雅黑" w:cs="Times New Roman"/>
          <w:b/>
          <w:color w:val="000000"/>
          <w:kern w:val="0"/>
          <w:sz w:val="32"/>
          <w:szCs w:val="24"/>
        </w:rPr>
        <w:t>七</w:t>
      </w:r>
      <w:r>
        <w:rPr>
          <w:rFonts w:ascii="Times New Roman" w:hAnsi="Times New Roman" w:eastAsia="微软雅黑" w:cs="Times New Roman"/>
          <w:b/>
          <w:color w:val="000000"/>
          <w:kern w:val="0"/>
          <w:sz w:val="32"/>
          <w:szCs w:val="24"/>
        </w:rPr>
        <w:t>章 特许经营者应当具备的条件及选择方式</w:t>
      </w:r>
      <w:bookmarkEnd w:id="33"/>
    </w:p>
    <w:p>
      <w:pPr>
        <w:spacing w:line="360" w:lineRule="auto"/>
        <w:ind w:firstLine="480" w:firstLineChars="200"/>
        <w:outlineLvl w:val="1"/>
        <w:rPr>
          <w:rFonts w:ascii="Times New Roman" w:hAnsi="Times New Roman" w:eastAsia="微软雅黑" w:cs="Times New Roman"/>
          <w:color w:val="000000"/>
          <w:kern w:val="0"/>
          <w:sz w:val="24"/>
          <w:szCs w:val="24"/>
        </w:rPr>
      </w:pPr>
      <w:bookmarkStart w:id="34" w:name="_Toc75531172"/>
      <w:r>
        <w:rPr>
          <w:rFonts w:hint="eastAsia" w:ascii="Times New Roman" w:hAnsi="Times New Roman" w:eastAsia="微软雅黑" w:cs="Times New Roman"/>
          <w:color w:val="000000"/>
          <w:kern w:val="0"/>
          <w:sz w:val="24"/>
          <w:szCs w:val="24"/>
        </w:rPr>
        <w:t>一</w:t>
      </w:r>
      <w:r>
        <w:rPr>
          <w:rFonts w:ascii="Times New Roman" w:hAnsi="Times New Roman" w:eastAsia="微软雅黑" w:cs="Times New Roman"/>
          <w:color w:val="000000"/>
          <w:kern w:val="0"/>
          <w:sz w:val="24"/>
          <w:szCs w:val="24"/>
        </w:rPr>
        <w:t>、</w:t>
      </w:r>
      <w:r>
        <w:rPr>
          <w:rFonts w:hint="eastAsia" w:ascii="Times New Roman" w:hAnsi="Times New Roman" w:eastAsia="微软雅黑" w:cs="Times New Roman"/>
          <w:color w:val="000000"/>
          <w:kern w:val="0"/>
          <w:sz w:val="24"/>
          <w:szCs w:val="24"/>
        </w:rPr>
        <w:t>特许经营者的选择方式</w:t>
      </w:r>
      <w:bookmarkEnd w:id="34"/>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根据《中华人民共和国招标投标法》及其它相关规定，结合项目的实际情况，本项目采用公开招标的形式。</w:t>
      </w:r>
    </w:p>
    <w:p>
      <w:pPr>
        <w:spacing w:line="360" w:lineRule="auto"/>
        <w:ind w:firstLine="480" w:firstLineChars="200"/>
        <w:outlineLvl w:val="1"/>
        <w:rPr>
          <w:rFonts w:ascii="Times New Roman" w:hAnsi="Times New Roman" w:eastAsia="微软雅黑" w:cs="Times New Roman"/>
          <w:color w:val="000000"/>
          <w:kern w:val="0"/>
          <w:sz w:val="24"/>
          <w:szCs w:val="24"/>
        </w:rPr>
      </w:pPr>
      <w:bookmarkStart w:id="35" w:name="_Toc75531173"/>
      <w:r>
        <w:rPr>
          <w:rFonts w:hint="eastAsia" w:ascii="Times New Roman" w:hAnsi="Times New Roman" w:eastAsia="微软雅黑" w:cs="Times New Roman"/>
          <w:color w:val="000000"/>
          <w:kern w:val="0"/>
          <w:sz w:val="24"/>
          <w:szCs w:val="24"/>
        </w:rPr>
        <w:t>二</w:t>
      </w:r>
      <w:r>
        <w:rPr>
          <w:rFonts w:ascii="Times New Roman" w:hAnsi="Times New Roman" w:eastAsia="微软雅黑" w:cs="Times New Roman"/>
          <w:color w:val="000000"/>
          <w:kern w:val="0"/>
          <w:sz w:val="24"/>
          <w:szCs w:val="24"/>
        </w:rPr>
        <w:t>、</w:t>
      </w:r>
      <w:r>
        <w:rPr>
          <w:rFonts w:hint="eastAsia" w:ascii="Times New Roman" w:hAnsi="Times New Roman" w:eastAsia="微软雅黑" w:cs="Times New Roman"/>
          <w:color w:val="000000"/>
          <w:kern w:val="0"/>
          <w:sz w:val="24"/>
          <w:szCs w:val="24"/>
        </w:rPr>
        <w:t>项目招标的依据</w:t>
      </w:r>
      <w:bookmarkEnd w:id="35"/>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本项目非工程招标及非政府采购，为自主采购项目，参考《中华人民共和国招标投标法》等相关法律法规。</w:t>
      </w:r>
    </w:p>
    <w:p>
      <w:pPr>
        <w:spacing w:line="360" w:lineRule="auto"/>
        <w:ind w:firstLine="480" w:firstLineChars="200"/>
        <w:outlineLvl w:val="1"/>
        <w:rPr>
          <w:rFonts w:ascii="Times New Roman" w:hAnsi="Times New Roman" w:eastAsia="微软雅黑" w:cs="Times New Roman"/>
          <w:color w:val="000000"/>
          <w:kern w:val="0"/>
          <w:sz w:val="24"/>
          <w:szCs w:val="24"/>
        </w:rPr>
      </w:pPr>
      <w:bookmarkStart w:id="36" w:name="_Toc75531174"/>
      <w:r>
        <w:rPr>
          <w:rFonts w:hint="eastAsia" w:ascii="Times New Roman" w:hAnsi="Times New Roman" w:eastAsia="微软雅黑" w:cs="Times New Roman"/>
          <w:color w:val="000000"/>
          <w:kern w:val="0"/>
          <w:sz w:val="24"/>
          <w:szCs w:val="24"/>
        </w:rPr>
        <w:t>三</w:t>
      </w:r>
      <w:r>
        <w:rPr>
          <w:rFonts w:ascii="Times New Roman" w:hAnsi="Times New Roman" w:eastAsia="微软雅黑" w:cs="Times New Roman"/>
          <w:color w:val="000000"/>
          <w:kern w:val="0"/>
          <w:sz w:val="24"/>
          <w:szCs w:val="24"/>
        </w:rPr>
        <w:t>、</w:t>
      </w:r>
      <w:r>
        <w:rPr>
          <w:rFonts w:hint="eastAsia" w:ascii="Times New Roman" w:hAnsi="Times New Roman" w:eastAsia="微软雅黑" w:cs="Times New Roman"/>
          <w:color w:val="000000"/>
          <w:kern w:val="0"/>
          <w:sz w:val="24"/>
          <w:szCs w:val="24"/>
        </w:rPr>
        <w:t>应具备的条件</w:t>
      </w:r>
      <w:bookmarkEnd w:id="36"/>
    </w:p>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1、准入条件建议（考察企业的合法性和信用情况，不接受联合体投标）：</w:t>
      </w:r>
    </w:p>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（1）、投标人具备《政府采购法》第二十二条所规定的条件，提供以下材料：</w:t>
      </w:r>
    </w:p>
    <w:p>
      <w:pPr>
        <w:spacing w:line="360" w:lineRule="auto"/>
        <w:ind w:firstLine="480" w:firstLineChars="200"/>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w:t>
      </w:r>
      <w:r>
        <w:rPr>
          <w:rFonts w:hint="eastAsia" w:ascii="Times New Roman" w:hAnsi="Times New Roman" w:eastAsia="宋体" w:cs="Times New Roman"/>
          <w:color w:val="000000"/>
          <w:kern w:val="0"/>
          <w:sz w:val="24"/>
          <w:szCs w:val="24"/>
        </w:rPr>
        <w:t>）具有独立承担民事责任的能力（提供法人营业执照或者其他组织登记文件等证明文件，自然人的身份证明）；</w:t>
      </w:r>
    </w:p>
    <w:p>
      <w:pPr>
        <w:spacing w:line="360" w:lineRule="auto"/>
        <w:ind w:firstLine="480" w:firstLineChars="200"/>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w:t>
      </w:r>
      <w:r>
        <w:rPr>
          <w:rFonts w:hint="eastAsia" w:ascii="Times New Roman" w:hAnsi="Times New Roman" w:eastAsia="宋体" w:cs="Times New Roman"/>
          <w:color w:val="000000"/>
          <w:kern w:val="0"/>
          <w:sz w:val="24"/>
          <w:szCs w:val="24"/>
        </w:rPr>
        <w:t>）具有良好的商业信誉和健全的财务会计制度（提供本年度财务状况报告（未完成编制的可提供上一年度，新成立单位可提供成立至今）或基本开户行出具的资信证明）；</w:t>
      </w:r>
    </w:p>
    <w:p>
      <w:pPr>
        <w:spacing w:line="360" w:lineRule="auto"/>
        <w:ind w:firstLine="480" w:firstLineChars="200"/>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3</w:t>
      </w:r>
      <w:r>
        <w:rPr>
          <w:rFonts w:hint="eastAsia" w:ascii="Times New Roman" w:hAnsi="Times New Roman" w:eastAsia="宋体" w:cs="Times New Roman"/>
          <w:color w:val="000000"/>
          <w:kern w:val="0"/>
          <w:sz w:val="24"/>
          <w:szCs w:val="24"/>
        </w:rPr>
        <w:t>）有依法缴纳税收和社会保障资金的良好记录（提供投标截止日前</w:t>
      </w:r>
      <w:r>
        <w:rPr>
          <w:rFonts w:ascii="Times New Roman" w:hAnsi="Times New Roman" w:eastAsia="宋体" w:cs="Times New Roman"/>
          <w:color w:val="000000"/>
          <w:kern w:val="0"/>
          <w:sz w:val="24"/>
          <w:szCs w:val="24"/>
        </w:rPr>
        <w:t>6</w:t>
      </w:r>
      <w:r>
        <w:rPr>
          <w:rFonts w:hint="eastAsia" w:ascii="Times New Roman" w:hAnsi="Times New Roman" w:eastAsia="宋体" w:cs="Times New Roman"/>
          <w:color w:val="000000"/>
          <w:kern w:val="0"/>
          <w:sz w:val="24"/>
          <w:szCs w:val="24"/>
        </w:rPr>
        <w:t>个月内任意</w:t>
      </w:r>
      <w:r>
        <w:rPr>
          <w:rFonts w:ascii="Times New Roman" w:hAnsi="Times New Roman" w:eastAsia="宋体" w:cs="Times New Roman"/>
          <w:color w:val="000000"/>
          <w:kern w:val="0"/>
          <w:sz w:val="24"/>
          <w:szCs w:val="24"/>
        </w:rPr>
        <w:t>1</w:t>
      </w:r>
      <w:r>
        <w:rPr>
          <w:rFonts w:hint="eastAsia" w:ascii="Times New Roman" w:hAnsi="Times New Roman" w:eastAsia="宋体" w:cs="Times New Roman"/>
          <w:color w:val="000000"/>
          <w:kern w:val="0"/>
          <w:sz w:val="24"/>
          <w:szCs w:val="24"/>
        </w:rPr>
        <w:t>个月依法缴纳税收和社会保障资金的相关材料。如依法免税或不需要缴纳社会保障资金的，提供相应证明材料）；</w:t>
      </w:r>
    </w:p>
    <w:p>
      <w:pPr>
        <w:spacing w:line="360" w:lineRule="auto"/>
        <w:ind w:firstLine="360" w:firstLineChars="150"/>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4</w:t>
      </w:r>
      <w:r>
        <w:rPr>
          <w:rFonts w:hint="eastAsia" w:ascii="Times New Roman" w:hAnsi="Times New Roman" w:eastAsia="宋体" w:cs="Times New Roman"/>
          <w:color w:val="000000"/>
          <w:kern w:val="0"/>
          <w:sz w:val="24"/>
          <w:szCs w:val="24"/>
        </w:rPr>
        <w:t>）提供具有履行合同所必需的设备和专业技术能力的书面声明；</w:t>
      </w:r>
    </w:p>
    <w:p>
      <w:pPr>
        <w:spacing w:line="360" w:lineRule="auto"/>
        <w:ind w:firstLine="360" w:firstLineChars="150"/>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5</w:t>
      </w:r>
      <w:r>
        <w:rPr>
          <w:rFonts w:hint="eastAsia" w:ascii="Times New Roman" w:hAnsi="Times New Roman" w:eastAsia="宋体" w:cs="Times New Roman"/>
          <w:color w:val="000000"/>
          <w:kern w:val="0"/>
          <w:sz w:val="24"/>
          <w:szCs w:val="24"/>
        </w:rPr>
        <w:t>）提供参加政府采购活动前三年内在经营活动中没有重大违法记录的书面声明；</w:t>
      </w:r>
    </w:p>
    <w:p>
      <w:pPr>
        <w:spacing w:line="360" w:lineRule="auto"/>
        <w:ind w:firstLine="480" w:firstLineChars="200"/>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6</w:t>
      </w:r>
      <w:r>
        <w:rPr>
          <w:rFonts w:hint="eastAsia" w:ascii="Times New Roman" w:hAnsi="Times New Roman" w:eastAsia="宋体" w:cs="Times New Roman"/>
          <w:color w:val="000000"/>
          <w:kern w:val="0"/>
          <w:sz w:val="24"/>
          <w:szCs w:val="24"/>
        </w:rPr>
        <w:t>）符合法律、行政法规规定的其他条件。</w:t>
      </w:r>
    </w:p>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w:t>
      </w:r>
      <w:r>
        <w:rPr>
          <w:rFonts w:ascii="Times New Roman" w:hAnsi="Times New Roman" w:eastAsia="宋体" w:cs="Times New Roman"/>
          <w:color w:val="000000"/>
          <w:kern w:val="0"/>
          <w:sz w:val="24"/>
          <w:szCs w:val="24"/>
        </w:rPr>
        <w:t>2</w:t>
      </w:r>
      <w:r>
        <w:rPr>
          <w:rFonts w:hint="eastAsia" w:ascii="Times New Roman" w:hAnsi="Times New Roman" w:eastAsia="宋体" w:cs="Times New Roman"/>
          <w:color w:val="000000"/>
          <w:kern w:val="0"/>
          <w:sz w:val="24"/>
          <w:szCs w:val="24"/>
        </w:rPr>
        <w:t>）未列入“信用中国”网站中“记录失信被执行人或重大税收违法案件当事人名单或政府采购严重违法失信行为”的记录名单；不处于“中国政府采购网”中“政府采购严重违法失信行为信息记录”的禁止参加政府采购活动期间失信被执行人、重大税收违法案件当事人名单、政府采购严重违法失信行为记录名单（以</w:t>
      </w:r>
      <w:r>
        <w:rPr>
          <w:rFonts w:ascii="Times New Roman" w:hAnsi="Times New Roman" w:eastAsia="宋体" w:cs="Times New Roman"/>
          <w:color w:val="000000"/>
          <w:kern w:val="0"/>
          <w:sz w:val="24"/>
          <w:szCs w:val="24"/>
        </w:rPr>
        <w:t>“</w:t>
      </w:r>
      <w:r>
        <w:rPr>
          <w:rFonts w:hint="eastAsia" w:ascii="Times New Roman" w:hAnsi="Times New Roman" w:eastAsia="宋体" w:cs="Times New Roman"/>
          <w:color w:val="000000"/>
          <w:kern w:val="0"/>
          <w:sz w:val="24"/>
          <w:szCs w:val="24"/>
        </w:rPr>
        <w:t>信用中国</w:t>
      </w:r>
      <w:r>
        <w:rPr>
          <w:rFonts w:ascii="Times New Roman" w:hAnsi="Times New Roman" w:eastAsia="宋体" w:cs="Times New Roman"/>
          <w:color w:val="000000"/>
          <w:kern w:val="0"/>
          <w:sz w:val="24"/>
          <w:szCs w:val="24"/>
        </w:rPr>
        <w:t>”</w:t>
      </w:r>
      <w:r>
        <w:rPr>
          <w:rFonts w:hint="eastAsia" w:ascii="Times New Roman" w:hAnsi="Times New Roman" w:eastAsia="宋体" w:cs="Times New Roman"/>
          <w:color w:val="000000"/>
          <w:kern w:val="0"/>
          <w:sz w:val="24"/>
          <w:szCs w:val="24"/>
        </w:rPr>
        <w:t>网站（</w:t>
      </w:r>
      <w:r>
        <w:rPr>
          <w:rFonts w:ascii="Times New Roman" w:hAnsi="Times New Roman" w:eastAsia="宋体" w:cs="Times New Roman"/>
          <w:color w:val="000000"/>
          <w:kern w:val="0"/>
          <w:sz w:val="24"/>
          <w:szCs w:val="24"/>
        </w:rPr>
        <w:t>www.creditchina.gov.cn</w:t>
      </w:r>
      <w:r>
        <w:rPr>
          <w:rFonts w:hint="eastAsia" w:ascii="Times New Roman" w:hAnsi="Times New Roman" w:eastAsia="宋体" w:cs="Times New Roman"/>
          <w:color w:val="000000"/>
          <w:kern w:val="0"/>
          <w:sz w:val="24"/>
          <w:szCs w:val="24"/>
        </w:rPr>
        <w:t>）及中国政府采购网</w:t>
      </w:r>
      <w:r>
        <w:rPr>
          <w:rFonts w:ascii="Times New Roman" w:hAnsi="Times New Roman" w:eastAsia="宋体" w:cs="Times New Roman"/>
          <w:color w:val="000000"/>
          <w:kern w:val="0"/>
          <w:sz w:val="24"/>
          <w:szCs w:val="24"/>
        </w:rPr>
        <w:t>(www.ccgp.gov.cn)</w:t>
      </w:r>
      <w:r>
        <w:rPr>
          <w:rFonts w:hint="eastAsia" w:ascii="Times New Roman" w:hAnsi="Times New Roman" w:eastAsia="宋体" w:cs="Times New Roman"/>
          <w:color w:val="000000"/>
          <w:kern w:val="0"/>
          <w:sz w:val="24"/>
          <w:szCs w:val="24"/>
        </w:rPr>
        <w:t>查询结果为准，如在上述网站查询结果均显示没有相关记录，视为没有上述不良信用记录。如相关失信记录已失效，投标人须提供相关证明资料）。</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w:t>
      </w:r>
      <w:r>
        <w:rPr>
          <w:rFonts w:ascii="Times New Roman" w:hAnsi="Times New Roman" w:eastAsia="宋体" w:cs="Times New Roman"/>
          <w:color w:val="000000"/>
          <w:kern w:val="0"/>
          <w:sz w:val="24"/>
          <w:szCs w:val="24"/>
        </w:rPr>
        <w:t>3</w:t>
      </w:r>
      <w:r>
        <w:rPr>
          <w:rFonts w:hint="eastAsia" w:ascii="Times New Roman" w:hAnsi="Times New Roman" w:eastAsia="宋体" w:cs="Times New Roman"/>
          <w:color w:val="000000"/>
          <w:kern w:val="0"/>
          <w:sz w:val="24"/>
          <w:szCs w:val="24"/>
        </w:rPr>
        <w:t>）已登记报名并获取本项目采购文件；</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w:t>
      </w:r>
      <w:r>
        <w:rPr>
          <w:rFonts w:ascii="Times New Roman" w:hAnsi="Times New Roman" w:eastAsia="宋体" w:cs="Times New Roman"/>
          <w:color w:val="000000"/>
          <w:kern w:val="0"/>
          <w:sz w:val="24"/>
          <w:szCs w:val="24"/>
        </w:rPr>
        <w:t>4</w:t>
      </w:r>
      <w:r>
        <w:rPr>
          <w:rFonts w:hint="eastAsia" w:ascii="Times New Roman" w:hAnsi="Times New Roman" w:eastAsia="宋体" w:cs="Times New Roman"/>
          <w:color w:val="000000"/>
          <w:kern w:val="0"/>
          <w:sz w:val="24"/>
          <w:szCs w:val="24"/>
        </w:rPr>
        <w:t>）本项目不接受联合体投标；</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w:t>
      </w:r>
      <w:r>
        <w:rPr>
          <w:rFonts w:ascii="Times New Roman" w:hAnsi="Times New Roman" w:eastAsia="宋体" w:cs="Times New Roman"/>
          <w:color w:val="000000"/>
          <w:kern w:val="0"/>
          <w:sz w:val="24"/>
          <w:szCs w:val="24"/>
        </w:rPr>
        <w:t>5</w:t>
      </w:r>
      <w:r>
        <w:rPr>
          <w:rFonts w:hint="eastAsia" w:ascii="Times New Roman" w:hAnsi="Times New Roman" w:eastAsia="宋体" w:cs="Times New Roman"/>
          <w:color w:val="000000"/>
          <w:kern w:val="0"/>
          <w:sz w:val="24"/>
          <w:szCs w:val="24"/>
        </w:rPr>
        <w:t>）存在隶属关系或同属一母公司或法人的企业，仅能由一家企业参与投标；</w:t>
      </w:r>
    </w:p>
    <w:p>
      <w:pPr>
        <w:spacing w:line="360" w:lineRule="auto"/>
        <w:ind w:firstLine="240" w:firstLineChars="1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2、考核内容建议：</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w:t>
      </w:r>
      <w:r>
        <w:rPr>
          <w:rFonts w:ascii="Times New Roman" w:hAnsi="Times New Roman" w:eastAsia="宋体" w:cs="Times New Roman"/>
          <w:color w:val="000000"/>
          <w:kern w:val="0"/>
          <w:sz w:val="24"/>
          <w:szCs w:val="24"/>
        </w:rPr>
        <w:t>1</w:t>
      </w:r>
      <w:r>
        <w:rPr>
          <w:rFonts w:hint="eastAsia" w:ascii="Times New Roman" w:hAnsi="Times New Roman" w:eastAsia="宋体" w:cs="Times New Roman"/>
          <w:color w:val="000000"/>
          <w:kern w:val="0"/>
          <w:sz w:val="24"/>
          <w:szCs w:val="24"/>
        </w:rPr>
        <w:t>）智慧停车设备的参数，应具备有权威的检测、检验报告；</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w:t>
      </w:r>
      <w:r>
        <w:rPr>
          <w:rFonts w:ascii="Times New Roman" w:hAnsi="Times New Roman" w:eastAsia="宋体" w:cs="Times New Roman"/>
          <w:color w:val="000000"/>
          <w:kern w:val="0"/>
          <w:sz w:val="24"/>
          <w:szCs w:val="24"/>
        </w:rPr>
        <w:t>2</w:t>
      </w:r>
      <w:r>
        <w:rPr>
          <w:rFonts w:hint="eastAsia" w:ascii="Times New Roman" w:hAnsi="Times New Roman" w:eastAsia="宋体" w:cs="Times New Roman"/>
          <w:color w:val="000000"/>
          <w:kern w:val="0"/>
          <w:sz w:val="24"/>
          <w:szCs w:val="24"/>
        </w:rPr>
        <w:t>）相关软件平台，具备有软件著作权，为其独立开发且原始取得，建议要求投标人展示平台时采用真实平台演示。</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w:t>
      </w:r>
      <w:r>
        <w:rPr>
          <w:rFonts w:ascii="Times New Roman" w:hAnsi="Times New Roman" w:eastAsia="宋体" w:cs="Times New Roman"/>
          <w:color w:val="000000"/>
          <w:kern w:val="0"/>
          <w:sz w:val="24"/>
          <w:szCs w:val="24"/>
        </w:rPr>
        <w:t>3</w:t>
      </w:r>
      <w:r>
        <w:rPr>
          <w:rFonts w:hint="eastAsia" w:ascii="Times New Roman" w:hAnsi="Times New Roman" w:eastAsia="宋体" w:cs="Times New Roman"/>
          <w:color w:val="000000"/>
          <w:kern w:val="0"/>
          <w:sz w:val="24"/>
          <w:szCs w:val="24"/>
        </w:rPr>
        <w:t>）考核是否所采用技术的先进性、兼容性、扩展性和便利性，特别考核是否有技术手段追缴逃费的方案，考核是否有其他便捷缴费手段，如</w:t>
      </w:r>
      <w:r>
        <w:rPr>
          <w:rFonts w:ascii="Times New Roman" w:hAnsi="Times New Roman" w:eastAsia="宋体" w:cs="Times New Roman"/>
          <w:color w:val="000000"/>
          <w:kern w:val="0"/>
          <w:sz w:val="24"/>
          <w:szCs w:val="24"/>
        </w:rPr>
        <w:t>ETC</w:t>
      </w:r>
      <w:r>
        <w:rPr>
          <w:rFonts w:hint="eastAsia" w:ascii="Times New Roman" w:hAnsi="Times New Roman" w:eastAsia="宋体" w:cs="Times New Roman"/>
          <w:color w:val="000000"/>
          <w:kern w:val="0"/>
          <w:sz w:val="24"/>
          <w:szCs w:val="24"/>
        </w:rPr>
        <w:t>技术在停车缴费中的应用等。</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w:t>
      </w:r>
      <w:r>
        <w:rPr>
          <w:rFonts w:ascii="Times New Roman" w:hAnsi="Times New Roman" w:eastAsia="宋体" w:cs="Times New Roman"/>
          <w:color w:val="000000"/>
          <w:kern w:val="0"/>
          <w:sz w:val="24"/>
          <w:szCs w:val="24"/>
        </w:rPr>
        <w:t>4</w:t>
      </w:r>
      <w:r>
        <w:rPr>
          <w:rFonts w:hint="eastAsia" w:ascii="Times New Roman" w:hAnsi="Times New Roman" w:eastAsia="宋体" w:cs="Times New Roman"/>
          <w:color w:val="000000"/>
          <w:kern w:val="0"/>
          <w:sz w:val="24"/>
          <w:szCs w:val="24"/>
        </w:rPr>
        <w:t>）考核供应商的相关运营方案。</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w:t>
      </w:r>
      <w:r>
        <w:rPr>
          <w:rFonts w:ascii="Times New Roman" w:hAnsi="Times New Roman" w:eastAsia="宋体" w:cs="Times New Roman"/>
          <w:color w:val="000000"/>
          <w:kern w:val="0"/>
          <w:sz w:val="24"/>
          <w:szCs w:val="24"/>
        </w:rPr>
        <w:t>5</w:t>
      </w:r>
      <w:r>
        <w:rPr>
          <w:rFonts w:hint="eastAsia" w:ascii="Times New Roman" w:hAnsi="Times New Roman" w:eastAsia="宋体" w:cs="Times New Roman"/>
          <w:color w:val="000000"/>
          <w:kern w:val="0"/>
          <w:sz w:val="24"/>
          <w:szCs w:val="24"/>
        </w:rPr>
        <w:t>）考核业主单位要求的各项条件，可以采用承诺函的形式，并要求附上相关方案。</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w:t>
      </w:r>
      <w:r>
        <w:rPr>
          <w:rFonts w:ascii="Times New Roman" w:hAnsi="Times New Roman" w:eastAsia="宋体" w:cs="Times New Roman"/>
          <w:color w:val="000000"/>
          <w:kern w:val="0"/>
          <w:sz w:val="24"/>
          <w:szCs w:val="24"/>
        </w:rPr>
        <w:t>6</w:t>
      </w:r>
      <w:r>
        <w:rPr>
          <w:rFonts w:hint="eastAsia" w:ascii="Times New Roman" w:hAnsi="Times New Roman" w:eastAsia="宋体" w:cs="Times New Roman"/>
          <w:color w:val="000000"/>
          <w:kern w:val="0"/>
          <w:sz w:val="24"/>
          <w:szCs w:val="24"/>
        </w:rPr>
        <w:t>）商务考核重点为智慧停车相关的资质、专利、人员素质情况、项目经验。</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w:t>
      </w:r>
      <w:r>
        <w:rPr>
          <w:rFonts w:ascii="Times New Roman" w:hAnsi="Times New Roman" w:eastAsia="宋体" w:cs="Times New Roman"/>
          <w:color w:val="000000"/>
          <w:kern w:val="0"/>
          <w:sz w:val="24"/>
          <w:szCs w:val="24"/>
        </w:rPr>
        <w:t>7</w:t>
      </w:r>
      <w:r>
        <w:rPr>
          <w:rFonts w:hint="eastAsia" w:ascii="Times New Roman" w:hAnsi="Times New Roman" w:eastAsia="宋体" w:cs="Times New Roman"/>
          <w:color w:val="000000"/>
          <w:kern w:val="0"/>
          <w:sz w:val="24"/>
          <w:szCs w:val="24"/>
        </w:rPr>
        <w:t>）价格分数建议采用分为（1）直接的经营费价中者得的模式，考核车位缴纳金情况并设置最高限价；（2）为车主优惠、让利的方案评比。</w:t>
      </w: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三、评分方式建议：</w:t>
      </w:r>
    </w:p>
    <w:p>
      <w:pPr>
        <w:tabs>
          <w:tab w:val="left" w:pos="720"/>
        </w:tabs>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（1）评分构成建议采用技术分</w:t>
      </w:r>
      <w:r>
        <w:rPr>
          <w:rFonts w:ascii="Times New Roman" w:hAnsi="Times New Roman" w:eastAsia="宋体" w:cs="Times New Roman"/>
          <w:color w:val="000000"/>
          <w:kern w:val="0"/>
          <w:sz w:val="24"/>
          <w:szCs w:val="24"/>
        </w:rPr>
        <w:t>+</w:t>
      </w:r>
      <w:r>
        <w:rPr>
          <w:rFonts w:hint="eastAsia" w:ascii="Times New Roman" w:hAnsi="Times New Roman" w:eastAsia="宋体" w:cs="Times New Roman"/>
          <w:color w:val="000000"/>
          <w:kern w:val="0"/>
          <w:sz w:val="24"/>
          <w:szCs w:val="24"/>
        </w:rPr>
        <w:t>商务分</w:t>
      </w:r>
      <w:r>
        <w:rPr>
          <w:rFonts w:ascii="Times New Roman" w:hAnsi="Times New Roman" w:eastAsia="宋体" w:cs="Times New Roman"/>
          <w:color w:val="000000"/>
          <w:kern w:val="0"/>
          <w:sz w:val="24"/>
          <w:szCs w:val="24"/>
        </w:rPr>
        <w:t>+</w:t>
      </w:r>
      <w:r>
        <w:rPr>
          <w:rFonts w:hint="eastAsia" w:ascii="Times New Roman" w:hAnsi="Times New Roman" w:eastAsia="宋体" w:cs="Times New Roman"/>
          <w:color w:val="000000"/>
          <w:kern w:val="0"/>
          <w:sz w:val="24"/>
          <w:szCs w:val="24"/>
        </w:rPr>
        <w:t>价格分三部分构成。</w:t>
      </w:r>
    </w:p>
    <w:p>
      <w:pPr>
        <w:tabs>
          <w:tab w:val="left" w:pos="720"/>
        </w:tabs>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（2）建议的比例为：技术分占5</w:t>
      </w:r>
      <w:r>
        <w:rPr>
          <w:rFonts w:ascii="Times New Roman" w:hAnsi="Times New Roman" w:eastAsia="宋体" w:cs="Times New Roman"/>
          <w:color w:val="000000"/>
          <w:kern w:val="0"/>
          <w:sz w:val="24"/>
          <w:szCs w:val="24"/>
        </w:rPr>
        <w:t>0-60%</w:t>
      </w:r>
      <w:r>
        <w:rPr>
          <w:rFonts w:hint="eastAsia" w:ascii="Times New Roman" w:hAnsi="Times New Roman" w:eastAsia="宋体" w:cs="Times New Roman"/>
          <w:color w:val="000000"/>
          <w:kern w:val="0"/>
          <w:sz w:val="24"/>
          <w:szCs w:val="24"/>
        </w:rPr>
        <w:t>，商务分占</w:t>
      </w:r>
      <w:r>
        <w:rPr>
          <w:rFonts w:ascii="Times New Roman" w:hAnsi="Times New Roman" w:eastAsia="宋体" w:cs="Times New Roman"/>
          <w:color w:val="000000"/>
          <w:kern w:val="0"/>
          <w:sz w:val="24"/>
          <w:szCs w:val="24"/>
        </w:rPr>
        <w:t>30%</w:t>
      </w:r>
      <w:r>
        <w:rPr>
          <w:rFonts w:hint="eastAsia" w:ascii="Times New Roman" w:hAnsi="Times New Roman" w:eastAsia="宋体" w:cs="Times New Roman"/>
          <w:color w:val="000000"/>
          <w:kern w:val="0"/>
          <w:sz w:val="24"/>
          <w:szCs w:val="24"/>
        </w:rPr>
        <w:t>，价格分占</w:t>
      </w:r>
      <w:r>
        <w:rPr>
          <w:rFonts w:ascii="Times New Roman" w:hAnsi="Times New Roman" w:eastAsia="宋体" w:cs="Times New Roman"/>
          <w:color w:val="000000"/>
          <w:kern w:val="0"/>
          <w:sz w:val="24"/>
          <w:szCs w:val="24"/>
        </w:rPr>
        <w:t>10-20%</w:t>
      </w:r>
      <w:r>
        <w:rPr>
          <w:rFonts w:hint="eastAsia" w:ascii="Times New Roman" w:hAnsi="Times New Roman" w:eastAsia="宋体" w:cs="Times New Roman"/>
          <w:color w:val="000000"/>
          <w:kern w:val="0"/>
          <w:sz w:val="24"/>
          <w:szCs w:val="24"/>
        </w:rPr>
        <w:t>。</w:t>
      </w:r>
    </w:p>
    <w:p>
      <w:pPr>
        <w:widowControl/>
        <w:jc w:val="left"/>
        <w:rPr>
          <w:rFonts w:ascii="Times New Roman" w:hAnsi="Times New Roman" w:eastAsia="宋体" w:cs="Times New Roman"/>
          <w:color w:val="000000"/>
          <w:kern w:val="0"/>
          <w:sz w:val="24"/>
          <w:szCs w:val="24"/>
        </w:rPr>
      </w:pPr>
    </w:p>
    <w:sectPr>
      <w:footerReference r:id="rId4" w:type="default"/>
      <w:pgSz w:w="11906" w:h="16838"/>
      <w:pgMar w:top="1440" w:right="1440" w:bottom="1440" w:left="144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3464574"/>
    </w:sdtPr>
    <w:sdtContent>
      <w:p>
        <w:pPr>
          <w:pStyle w:val="6"/>
          <w:jc w:val="center"/>
        </w:pPr>
        <w:r>
          <w:fldChar w:fldCharType="begin"/>
        </w:r>
        <w:r>
          <w:instrText xml:space="preserve"> PAGE   \* MERGEFORMAT </w:instrText>
        </w:r>
        <w:r>
          <w:fldChar w:fldCharType="separate"/>
        </w:r>
        <w:r>
          <w:rPr>
            <w:lang w:val="zh-CN"/>
          </w:rPr>
          <w:t>28</w:t>
        </w:r>
        <w:r>
          <w:rPr>
            <w:lang w:val="zh-CN"/>
          </w:rPr>
          <w:fldChar w:fldCharType="end"/>
        </w:r>
      </w:p>
    </w:sdtContent>
  </w:sdt>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B16723"/>
    <w:multiLevelType w:val="multilevel"/>
    <w:tmpl w:val="02B16723"/>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
    <w:nsid w:val="048648CD"/>
    <w:multiLevelType w:val="multilevel"/>
    <w:tmpl w:val="048648C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26500975"/>
    <w:multiLevelType w:val="multilevel"/>
    <w:tmpl w:val="26500975"/>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3AE940EE"/>
    <w:multiLevelType w:val="multilevel"/>
    <w:tmpl w:val="3AE940EE"/>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540A3F8E"/>
    <w:multiLevelType w:val="multilevel"/>
    <w:tmpl w:val="540A3F8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F306CA5"/>
    <w:multiLevelType w:val="multilevel"/>
    <w:tmpl w:val="5F306CA5"/>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6">
    <w:nsid w:val="654B4C38"/>
    <w:multiLevelType w:val="multilevel"/>
    <w:tmpl w:val="654B4C3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6BD809E9"/>
    <w:multiLevelType w:val="multilevel"/>
    <w:tmpl w:val="6BD809E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6C3B5CC8"/>
    <w:multiLevelType w:val="multilevel"/>
    <w:tmpl w:val="6C3B5CC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73457C52"/>
    <w:multiLevelType w:val="multilevel"/>
    <w:tmpl w:val="73457C5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76E4503B"/>
    <w:multiLevelType w:val="multilevel"/>
    <w:tmpl w:val="76E4503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7F873936"/>
    <w:multiLevelType w:val="multilevel"/>
    <w:tmpl w:val="7F873936"/>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6"/>
  </w:num>
  <w:num w:numId="2">
    <w:abstractNumId w:val="8"/>
  </w:num>
  <w:num w:numId="3">
    <w:abstractNumId w:val="1"/>
  </w:num>
  <w:num w:numId="4">
    <w:abstractNumId w:val="9"/>
  </w:num>
  <w:num w:numId="5">
    <w:abstractNumId w:val="10"/>
  </w:num>
  <w:num w:numId="6">
    <w:abstractNumId w:val="4"/>
  </w:num>
  <w:num w:numId="7">
    <w:abstractNumId w:val="11"/>
  </w:num>
  <w:num w:numId="8">
    <w:abstractNumId w:val="3"/>
  </w:num>
  <w:num w:numId="9">
    <w:abstractNumId w:val="0"/>
  </w:num>
  <w:num w:numId="10">
    <w:abstractNumId w:val="2"/>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8DF"/>
    <w:rsid w:val="00070675"/>
    <w:rsid w:val="00080306"/>
    <w:rsid w:val="000A7C92"/>
    <w:rsid w:val="000A7D4C"/>
    <w:rsid w:val="000B778E"/>
    <w:rsid w:val="000E5163"/>
    <w:rsid w:val="000E62EF"/>
    <w:rsid w:val="00111E90"/>
    <w:rsid w:val="001268E7"/>
    <w:rsid w:val="0017107A"/>
    <w:rsid w:val="00176BFA"/>
    <w:rsid w:val="0018612E"/>
    <w:rsid w:val="00190BA9"/>
    <w:rsid w:val="001E7E3F"/>
    <w:rsid w:val="00200C3C"/>
    <w:rsid w:val="00252ED1"/>
    <w:rsid w:val="00265C61"/>
    <w:rsid w:val="00291D13"/>
    <w:rsid w:val="002B76C1"/>
    <w:rsid w:val="002F13BB"/>
    <w:rsid w:val="00321ABB"/>
    <w:rsid w:val="00347026"/>
    <w:rsid w:val="0035521A"/>
    <w:rsid w:val="003670B5"/>
    <w:rsid w:val="00392708"/>
    <w:rsid w:val="003A7646"/>
    <w:rsid w:val="003B34FA"/>
    <w:rsid w:val="003F7A38"/>
    <w:rsid w:val="0041057D"/>
    <w:rsid w:val="00411B21"/>
    <w:rsid w:val="004128A9"/>
    <w:rsid w:val="00432190"/>
    <w:rsid w:val="00440A48"/>
    <w:rsid w:val="00444412"/>
    <w:rsid w:val="00447046"/>
    <w:rsid w:val="0046304C"/>
    <w:rsid w:val="00476370"/>
    <w:rsid w:val="0049777C"/>
    <w:rsid w:val="004C313B"/>
    <w:rsid w:val="004C3214"/>
    <w:rsid w:val="004E134C"/>
    <w:rsid w:val="00506E1A"/>
    <w:rsid w:val="00530C68"/>
    <w:rsid w:val="0053162A"/>
    <w:rsid w:val="0055609B"/>
    <w:rsid w:val="005856F5"/>
    <w:rsid w:val="005E7237"/>
    <w:rsid w:val="005F14FF"/>
    <w:rsid w:val="00600FC8"/>
    <w:rsid w:val="006461F8"/>
    <w:rsid w:val="006664CA"/>
    <w:rsid w:val="006710CE"/>
    <w:rsid w:val="00673F72"/>
    <w:rsid w:val="00680CB0"/>
    <w:rsid w:val="006B65E4"/>
    <w:rsid w:val="006B736F"/>
    <w:rsid w:val="006C7E5E"/>
    <w:rsid w:val="006D7720"/>
    <w:rsid w:val="00720EA4"/>
    <w:rsid w:val="0073544A"/>
    <w:rsid w:val="00746F27"/>
    <w:rsid w:val="00764331"/>
    <w:rsid w:val="007815FB"/>
    <w:rsid w:val="007B63D6"/>
    <w:rsid w:val="00825B38"/>
    <w:rsid w:val="00871117"/>
    <w:rsid w:val="00873AF2"/>
    <w:rsid w:val="008B74CC"/>
    <w:rsid w:val="008C1F24"/>
    <w:rsid w:val="008F7039"/>
    <w:rsid w:val="00911AEF"/>
    <w:rsid w:val="00921EF8"/>
    <w:rsid w:val="0095245D"/>
    <w:rsid w:val="00991720"/>
    <w:rsid w:val="0099797A"/>
    <w:rsid w:val="00A65B12"/>
    <w:rsid w:val="00A75E60"/>
    <w:rsid w:val="00AA021E"/>
    <w:rsid w:val="00AA6341"/>
    <w:rsid w:val="00AB4E54"/>
    <w:rsid w:val="00AD22C7"/>
    <w:rsid w:val="00AD4D25"/>
    <w:rsid w:val="00B008D6"/>
    <w:rsid w:val="00B04CA0"/>
    <w:rsid w:val="00B13113"/>
    <w:rsid w:val="00B261A1"/>
    <w:rsid w:val="00B33242"/>
    <w:rsid w:val="00B514F7"/>
    <w:rsid w:val="00B5594B"/>
    <w:rsid w:val="00B71108"/>
    <w:rsid w:val="00B93A04"/>
    <w:rsid w:val="00B943A1"/>
    <w:rsid w:val="00BC2C4A"/>
    <w:rsid w:val="00BC65D9"/>
    <w:rsid w:val="00BD1AE3"/>
    <w:rsid w:val="00BE47F9"/>
    <w:rsid w:val="00BE6CBB"/>
    <w:rsid w:val="00BF4AE2"/>
    <w:rsid w:val="00C05982"/>
    <w:rsid w:val="00C122A3"/>
    <w:rsid w:val="00C262D3"/>
    <w:rsid w:val="00C41699"/>
    <w:rsid w:val="00C626F5"/>
    <w:rsid w:val="00C71BC9"/>
    <w:rsid w:val="00C748DF"/>
    <w:rsid w:val="00C82C7B"/>
    <w:rsid w:val="00CA1B5A"/>
    <w:rsid w:val="00CB43D0"/>
    <w:rsid w:val="00CB68B5"/>
    <w:rsid w:val="00CB6D4C"/>
    <w:rsid w:val="00CC5703"/>
    <w:rsid w:val="00CE3239"/>
    <w:rsid w:val="00D20FDB"/>
    <w:rsid w:val="00D361C3"/>
    <w:rsid w:val="00D3713B"/>
    <w:rsid w:val="00D51F24"/>
    <w:rsid w:val="00D558E3"/>
    <w:rsid w:val="00D726DA"/>
    <w:rsid w:val="00D77CCB"/>
    <w:rsid w:val="00D95E1D"/>
    <w:rsid w:val="00E50249"/>
    <w:rsid w:val="00E64CA1"/>
    <w:rsid w:val="00E67682"/>
    <w:rsid w:val="00EA06FD"/>
    <w:rsid w:val="00EA3BB4"/>
    <w:rsid w:val="00EC7BA1"/>
    <w:rsid w:val="00F25703"/>
    <w:rsid w:val="00F76085"/>
    <w:rsid w:val="00F803CE"/>
    <w:rsid w:val="00F86FCA"/>
    <w:rsid w:val="00F92A9A"/>
    <w:rsid w:val="00FB4DB1"/>
    <w:rsid w:val="00FC0120"/>
    <w:rsid w:val="00FC55ED"/>
    <w:rsid w:val="05236E7F"/>
    <w:rsid w:val="075B0B8B"/>
    <w:rsid w:val="0D6239FE"/>
    <w:rsid w:val="0E79046A"/>
    <w:rsid w:val="0E8075DA"/>
    <w:rsid w:val="125C3178"/>
    <w:rsid w:val="1C7300BE"/>
    <w:rsid w:val="1F5552D1"/>
    <w:rsid w:val="237E568A"/>
    <w:rsid w:val="2C147969"/>
    <w:rsid w:val="2DBB00A2"/>
    <w:rsid w:val="2E7B0414"/>
    <w:rsid w:val="40850A0E"/>
    <w:rsid w:val="48670DDA"/>
    <w:rsid w:val="4F4C1F46"/>
    <w:rsid w:val="55DA69D2"/>
    <w:rsid w:val="58082671"/>
    <w:rsid w:val="5C517214"/>
    <w:rsid w:val="65BD21AB"/>
    <w:rsid w:val="74956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2"/>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4"/>
    <w:semiHidden/>
    <w:unhideWhenUsed/>
    <w:qFormat/>
    <w:uiPriority w:val="9"/>
    <w:pPr>
      <w:keepNext/>
      <w:keepLines/>
      <w:spacing w:before="260" w:after="260" w:line="416" w:lineRule="auto"/>
      <w:outlineLvl w:val="2"/>
    </w:pPr>
    <w:rPr>
      <w:b/>
      <w:bCs/>
      <w:sz w:val="32"/>
      <w:szCs w:val="32"/>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6"/>
    <w:semiHidden/>
    <w:unhideWhenUsed/>
    <w:qFormat/>
    <w:uiPriority w:val="99"/>
    <w:rPr>
      <w:sz w:val="18"/>
      <w:szCs w:val="18"/>
    </w:rPr>
  </w:style>
  <w:style w:type="paragraph" w:styleId="6">
    <w:name w:val="footer"/>
    <w:basedOn w:val="1"/>
    <w:link w:val="19"/>
    <w:unhideWhenUsed/>
    <w:qFormat/>
    <w:uiPriority w:val="99"/>
    <w:pPr>
      <w:tabs>
        <w:tab w:val="center" w:pos="4153"/>
        <w:tab w:val="right" w:pos="8306"/>
      </w:tabs>
      <w:snapToGrid w:val="0"/>
      <w:jc w:val="left"/>
    </w:pPr>
    <w:rPr>
      <w:sz w:val="18"/>
      <w:szCs w:val="18"/>
    </w:rPr>
  </w:style>
  <w:style w:type="paragraph" w:styleId="7">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table of figures"/>
    <w:basedOn w:val="1"/>
    <w:next w:val="1"/>
    <w:qFormat/>
    <w:uiPriority w:val="0"/>
    <w:pPr>
      <w:ind w:left="200" w:leftChars="200" w:hanging="200" w:hangingChars="200"/>
    </w:pPr>
    <w:rPr>
      <w:rFonts w:ascii="Times New Roman" w:hAnsi="Times New Roman" w:eastAsia="宋体" w:cs="Times New Roman"/>
      <w:szCs w:val="24"/>
    </w:rPr>
  </w:style>
  <w:style w:type="paragraph" w:styleId="10">
    <w:name w:val="toc 2"/>
    <w:basedOn w:val="1"/>
    <w:next w:val="1"/>
    <w:unhideWhenUsed/>
    <w:qFormat/>
    <w:uiPriority w:val="39"/>
    <w:pPr>
      <w:ind w:left="420" w:leftChars="200"/>
    </w:pPr>
  </w:style>
  <w:style w:type="table" w:styleId="12">
    <w:name w:val="Table Grid"/>
    <w:basedOn w:val="11"/>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22"/>
    <w:rPr>
      <w:b/>
      <w:bCs/>
    </w:rPr>
  </w:style>
  <w:style w:type="character" w:styleId="15">
    <w:name w:val="Hyperlink"/>
    <w:basedOn w:val="13"/>
    <w:unhideWhenUsed/>
    <w:qFormat/>
    <w:uiPriority w:val="99"/>
    <w:rPr>
      <w:color w:val="0163AF"/>
      <w:u w:val="single"/>
    </w:rPr>
  </w:style>
  <w:style w:type="character" w:customStyle="1" w:styleId="16">
    <w:name w:val="批注框文本 Char"/>
    <w:basedOn w:val="13"/>
    <w:link w:val="5"/>
    <w:semiHidden/>
    <w:qFormat/>
    <w:uiPriority w:val="99"/>
    <w:rPr>
      <w:sz w:val="18"/>
      <w:szCs w:val="18"/>
    </w:rPr>
  </w:style>
  <w:style w:type="paragraph" w:styleId="17">
    <w:name w:val="List Paragraph"/>
    <w:basedOn w:val="1"/>
    <w:qFormat/>
    <w:uiPriority w:val="1"/>
    <w:pPr>
      <w:ind w:firstLine="420" w:firstLineChars="200"/>
    </w:pPr>
  </w:style>
  <w:style w:type="character" w:customStyle="1" w:styleId="18">
    <w:name w:val="页眉 Char"/>
    <w:basedOn w:val="13"/>
    <w:link w:val="7"/>
    <w:qFormat/>
    <w:uiPriority w:val="99"/>
    <w:rPr>
      <w:sz w:val="18"/>
      <w:szCs w:val="18"/>
    </w:rPr>
  </w:style>
  <w:style w:type="character" w:customStyle="1" w:styleId="19">
    <w:name w:val="页脚 Char"/>
    <w:basedOn w:val="13"/>
    <w:link w:val="6"/>
    <w:qFormat/>
    <w:uiPriority w:val="99"/>
    <w:rPr>
      <w:sz w:val="18"/>
      <w:szCs w:val="18"/>
    </w:rPr>
  </w:style>
  <w:style w:type="character" w:customStyle="1" w:styleId="20">
    <w:name w:val="标题 1 Char"/>
    <w:basedOn w:val="13"/>
    <w:link w:val="2"/>
    <w:qFormat/>
    <w:uiPriority w:val="9"/>
    <w:rPr>
      <w:b/>
      <w:bCs/>
      <w:kern w:val="44"/>
      <w:sz w:val="44"/>
      <w:szCs w:val="44"/>
    </w:rPr>
  </w:style>
  <w:style w:type="paragraph" w:customStyle="1" w:styleId="21">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22">
    <w:name w:val="标题 2 Char"/>
    <w:basedOn w:val="13"/>
    <w:link w:val="3"/>
    <w:semiHidden/>
    <w:qFormat/>
    <w:uiPriority w:val="9"/>
    <w:rPr>
      <w:rFonts w:asciiTheme="majorHAnsi" w:hAnsiTheme="majorHAnsi" w:eastAsiaTheme="majorEastAsia" w:cstheme="majorBidi"/>
      <w:b/>
      <w:bCs/>
      <w:sz w:val="32"/>
      <w:szCs w:val="32"/>
    </w:rPr>
  </w:style>
  <w:style w:type="paragraph" w:customStyle="1" w:styleId="23">
    <w:name w:val="表头"/>
    <w:basedOn w:val="1"/>
    <w:qFormat/>
    <w:uiPriority w:val="0"/>
    <w:pPr>
      <w:spacing w:before="140" w:afterLines="50"/>
      <w:jc w:val="center"/>
    </w:pPr>
    <w:rPr>
      <w:rFonts w:eastAsia="黑体"/>
      <w:b/>
      <w:sz w:val="24"/>
      <w:szCs w:val="24"/>
    </w:rPr>
  </w:style>
  <w:style w:type="character" w:customStyle="1" w:styleId="24">
    <w:name w:val="标题 3 Char"/>
    <w:basedOn w:val="13"/>
    <w:link w:val="4"/>
    <w:semiHidden/>
    <w:qFormat/>
    <w:uiPriority w:val="9"/>
    <w:rPr>
      <w:b/>
      <w:bCs/>
      <w:sz w:val="32"/>
      <w:szCs w:val="32"/>
    </w:rPr>
  </w:style>
  <w:style w:type="paragraph" w:customStyle="1" w:styleId="25">
    <w:name w:val="moduletitle"/>
    <w:basedOn w:val="1"/>
    <w:qFormat/>
    <w:uiPriority w:val="0"/>
    <w:pPr>
      <w:widowControl/>
      <w:spacing w:before="100" w:beforeAutospacing="1" w:after="100" w:afterAutospacing="1"/>
      <w:jc w:val="left"/>
    </w:pPr>
    <w:rPr>
      <w:rFonts w:ascii="宋体" w:hAnsi="宋体" w:eastAsia="宋体" w:cs="宋体"/>
      <w:b/>
      <w:bCs/>
      <w:color w:val="000000"/>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emf"/><Relationship Id="rId13" Type="http://schemas.openxmlformats.org/officeDocument/2006/relationships/image" Target="media/image7.png"/><Relationship Id="rId12" Type="http://schemas.openxmlformats.org/officeDocument/2006/relationships/image" Target="media/image6.emf"/><Relationship Id="rId11" Type="http://schemas.openxmlformats.org/officeDocument/2006/relationships/oleObject" Target="embeddings/oleObject1.bin"/><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D2B0D8D-02E8-4789-8CB0-D804A2A3406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37</Pages>
  <Words>17199</Words>
  <Characters>17970</Characters>
  <Lines>155</Lines>
  <Paragraphs>43</Paragraphs>
  <TotalTime>38</TotalTime>
  <ScaleCrop>false</ScaleCrop>
  <LinksUpToDate>false</LinksUpToDate>
  <CharactersWithSpaces>18354</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2021-06-25T08:12:00Z</dcterms:created>
  <dc:creator>think</dc:creator>
  <cp:lastModifiedBy>Lady豆豆</cp:lastModifiedBy>
  <cp:lastPrinted>2021-08-31T07:16:00Z</cp:lastPrinted>
  <dcterms:modified xsi:type="dcterms:W3CDTF">2022-04-27T01:19:45Z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C982951E768E42B2A3D81A71B44CCF09</vt:lpwstr>
  </property>
</Properties>
</file>