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6"/>
          <w:szCs w:val="44"/>
        </w:rPr>
      </w:pPr>
      <w:r>
        <w:rPr>
          <w:rFonts w:hint="eastAsia"/>
          <w:b/>
          <w:bCs/>
          <w:color w:val="auto"/>
          <w:sz w:val="36"/>
          <w:szCs w:val="44"/>
        </w:rPr>
        <w:t>采购需求书</w:t>
      </w:r>
    </w:p>
    <w:tbl>
      <w:tblPr>
        <w:tblStyle w:val="8"/>
        <w:tblpPr w:leftFromText="180" w:rightFromText="180" w:vertAnchor="text" w:horzAnchor="page" w:tblpXSpec="center" w:tblpY="66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2009"/>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p>
        </w:tc>
        <w:tc>
          <w:tcPr>
            <w:tcW w:w="2009" w:type="dxa"/>
            <w:vAlign w:val="center"/>
          </w:tcPr>
          <w:p>
            <w:pPr>
              <w:jc w:val="center"/>
              <w:rPr>
                <w:rFonts w:ascii="黑体" w:hAnsi="黑体" w:eastAsia="黑体" w:cs="楷体"/>
                <w:b/>
                <w:bCs/>
                <w:color w:val="auto"/>
                <w:kern w:val="0"/>
                <w:sz w:val="24"/>
              </w:rPr>
            </w:pPr>
            <w:r>
              <w:rPr>
                <w:rFonts w:hint="eastAsia" w:ascii="黑体" w:hAnsi="黑体" w:eastAsia="黑体" w:cs="楷体"/>
                <w:b/>
                <w:bCs/>
                <w:color w:val="auto"/>
                <w:kern w:val="0"/>
                <w:sz w:val="24"/>
              </w:rPr>
              <w:t>项目</w:t>
            </w:r>
          </w:p>
        </w:tc>
        <w:tc>
          <w:tcPr>
            <w:tcW w:w="5812" w:type="dxa"/>
            <w:vAlign w:val="center"/>
          </w:tcPr>
          <w:p>
            <w:pPr>
              <w:jc w:val="center"/>
              <w:rPr>
                <w:rFonts w:ascii="黑体" w:hAnsi="黑体" w:eastAsia="黑体" w:cs="楷体"/>
                <w:b/>
                <w:bCs/>
                <w:color w:val="auto"/>
                <w:kern w:val="0"/>
                <w:sz w:val="24"/>
              </w:rPr>
            </w:pPr>
            <w:r>
              <w:rPr>
                <w:rFonts w:hint="eastAsia" w:ascii="黑体" w:hAnsi="黑体" w:eastAsia="黑体" w:cs="仿宋"/>
                <w:b/>
                <w:bCs/>
                <w:color w:val="auto"/>
                <w:kern w:val="0"/>
                <w:sz w:val="24"/>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1</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采购项目标题</w:t>
            </w:r>
          </w:p>
        </w:tc>
        <w:tc>
          <w:tcPr>
            <w:tcW w:w="5812"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鹤山市自然资源局内网终端安全建设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2</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资格（资质）要求</w:t>
            </w:r>
          </w:p>
        </w:tc>
        <w:tc>
          <w:tcPr>
            <w:tcW w:w="5812"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1.投标人应具备《政府采购法》第二十二条规定的条件；</w:t>
            </w:r>
          </w:p>
          <w:p>
            <w:pPr>
              <w:rPr>
                <w:rFonts w:ascii="仿宋" w:hAnsi="仿宋" w:eastAsia="仿宋" w:cs="楷体"/>
                <w:color w:val="auto"/>
                <w:kern w:val="0"/>
                <w:sz w:val="24"/>
              </w:rPr>
            </w:pPr>
            <w:r>
              <w:rPr>
                <w:rFonts w:hint="eastAsia" w:ascii="仿宋" w:hAnsi="仿宋" w:eastAsia="仿宋" w:cs="楷体"/>
                <w:color w:val="auto"/>
                <w:kern w:val="0"/>
                <w:sz w:val="24"/>
              </w:rPr>
              <w:t>2.投标人应当是具有合法经营资格的法人，具有良好的信誉；</w:t>
            </w:r>
          </w:p>
          <w:p>
            <w:pPr>
              <w:rPr>
                <w:rFonts w:ascii="仿宋" w:hAnsi="仿宋" w:eastAsia="仿宋" w:cs="楷体"/>
                <w:color w:val="auto"/>
                <w:kern w:val="0"/>
                <w:sz w:val="24"/>
              </w:rPr>
            </w:pPr>
            <w:r>
              <w:rPr>
                <w:rFonts w:hint="eastAsia" w:ascii="仿宋" w:hAnsi="仿宋" w:eastAsia="仿宋" w:cs="楷体"/>
                <w:color w:val="auto"/>
                <w:kern w:val="0"/>
                <w:sz w:val="24"/>
              </w:rPr>
              <w:t>3.投标人（非江门地区内注册的）应当在江门地区内设有固定的售后服务机构（必须提供相关证明材料，不接受委托第三方提供售后服务）。</w:t>
            </w:r>
          </w:p>
          <w:p>
            <w:pPr>
              <w:rPr>
                <w:rFonts w:ascii="仿宋" w:hAnsi="仿宋" w:eastAsia="仿宋" w:cs="楷体"/>
                <w:color w:val="auto"/>
                <w:kern w:val="0"/>
                <w:sz w:val="24"/>
              </w:rPr>
            </w:pPr>
            <w:r>
              <w:rPr>
                <w:rFonts w:hint="eastAsia" w:ascii="仿宋" w:hAnsi="仿宋" w:eastAsia="仿宋" w:cs="楷体"/>
                <w:color w:val="auto"/>
                <w:kern w:val="0"/>
                <w:sz w:val="24"/>
              </w:rPr>
              <w:t>4.本项目不允许分包，不接受联合体投标。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3</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采购内容和要求</w:t>
            </w:r>
          </w:p>
        </w:tc>
        <w:tc>
          <w:tcPr>
            <w:tcW w:w="5812" w:type="dxa"/>
            <w:vAlign w:val="center"/>
          </w:tcPr>
          <w:p>
            <w:pPr>
              <w:rPr>
                <w:rFonts w:ascii="仿宋" w:hAnsi="仿宋" w:eastAsia="仿宋" w:cs="楷体"/>
                <w:b/>
                <w:bCs/>
                <w:color w:val="auto"/>
                <w:kern w:val="0"/>
                <w:sz w:val="24"/>
              </w:rPr>
            </w:pPr>
            <w:r>
              <w:rPr>
                <w:rFonts w:hint="eastAsia" w:ascii="仿宋" w:hAnsi="仿宋" w:eastAsia="仿宋" w:cs="楷体"/>
                <w:b/>
                <w:bCs/>
                <w:color w:val="auto"/>
                <w:kern w:val="0"/>
                <w:sz w:val="24"/>
              </w:rPr>
              <w:t>采购内容：</w:t>
            </w:r>
          </w:p>
          <w:p>
            <w:pPr>
              <w:pStyle w:val="13"/>
              <w:numPr>
                <w:ilvl w:val="0"/>
                <w:numId w:val="1"/>
              </w:numPr>
              <w:ind w:firstLineChars="0"/>
              <w:rPr>
                <w:rFonts w:ascii="仿宋" w:hAnsi="仿宋" w:eastAsia="仿宋" w:cs="楷体"/>
                <w:color w:val="auto"/>
                <w:kern w:val="0"/>
                <w:sz w:val="24"/>
              </w:rPr>
            </w:pPr>
            <w:r>
              <w:rPr>
                <w:rFonts w:hint="eastAsia" w:ascii="仿宋" w:hAnsi="仿宋" w:eastAsia="仿宋" w:cs="楷体"/>
                <w:color w:val="auto"/>
                <w:kern w:val="0"/>
                <w:sz w:val="24"/>
              </w:rPr>
              <w:t>终端文件审计设备1台（含终端安全管理授权2</w:t>
            </w:r>
            <w:r>
              <w:rPr>
                <w:rFonts w:ascii="仿宋" w:hAnsi="仿宋" w:eastAsia="仿宋" w:cs="楷体"/>
                <w:color w:val="auto"/>
                <w:kern w:val="0"/>
                <w:sz w:val="24"/>
              </w:rPr>
              <w:t>00</w:t>
            </w:r>
            <w:r>
              <w:rPr>
                <w:rFonts w:hint="eastAsia" w:ascii="仿宋" w:hAnsi="仿宋" w:eastAsia="仿宋" w:cs="楷体"/>
                <w:color w:val="auto"/>
                <w:kern w:val="0"/>
                <w:sz w:val="24"/>
              </w:rPr>
              <w:t>个）</w:t>
            </w:r>
          </w:p>
          <w:p>
            <w:pPr>
              <w:pStyle w:val="13"/>
              <w:numPr>
                <w:ilvl w:val="0"/>
                <w:numId w:val="1"/>
              </w:numPr>
              <w:ind w:firstLineChars="0"/>
              <w:rPr>
                <w:rFonts w:ascii="仿宋" w:hAnsi="仿宋" w:eastAsia="仿宋" w:cs="楷体"/>
                <w:color w:val="auto"/>
                <w:kern w:val="0"/>
                <w:sz w:val="24"/>
              </w:rPr>
            </w:pPr>
            <w:r>
              <w:rPr>
                <w:rFonts w:hint="eastAsia" w:ascii="仿宋" w:hAnsi="仿宋" w:eastAsia="仿宋" w:cs="楷体"/>
                <w:color w:val="auto"/>
                <w:kern w:val="0"/>
                <w:sz w:val="24"/>
              </w:rPr>
              <w:t>现有容灾备份系统1套（扩容 30TB 备份容量许可）</w:t>
            </w:r>
          </w:p>
          <w:p>
            <w:pPr>
              <w:pStyle w:val="13"/>
              <w:numPr>
                <w:ilvl w:val="0"/>
                <w:numId w:val="1"/>
              </w:numPr>
              <w:ind w:firstLineChars="0"/>
              <w:rPr>
                <w:rFonts w:ascii="仿宋" w:hAnsi="仿宋" w:eastAsia="仿宋" w:cs="楷体"/>
                <w:color w:val="auto"/>
                <w:kern w:val="0"/>
                <w:sz w:val="24"/>
              </w:rPr>
            </w:pPr>
            <w:r>
              <w:rPr>
                <w:rFonts w:hint="eastAsia" w:ascii="仿宋" w:hAnsi="仿宋" w:eastAsia="仿宋" w:cs="楷体"/>
                <w:color w:val="auto"/>
                <w:kern w:val="0"/>
                <w:sz w:val="24"/>
              </w:rPr>
              <w:t>机房专用空调1套（满足与旧款艾默生精密空调组成“1+1”冗余系统，精密空调采用1台RDU监控主机做监控）</w:t>
            </w:r>
          </w:p>
          <w:p>
            <w:pPr>
              <w:pStyle w:val="13"/>
              <w:ind w:firstLine="0" w:firstLineChars="0"/>
              <w:rPr>
                <w:rFonts w:ascii="仿宋" w:hAnsi="仿宋" w:eastAsia="仿宋" w:cs="楷体"/>
                <w:color w:val="auto"/>
                <w:kern w:val="0"/>
                <w:sz w:val="24"/>
              </w:rPr>
            </w:pPr>
            <w:r>
              <w:rPr>
                <w:rFonts w:hint="eastAsia" w:ascii="仿宋" w:hAnsi="仿宋" w:eastAsia="仿宋" w:cs="楷体"/>
                <w:b/>
                <w:bCs/>
                <w:color w:val="auto"/>
                <w:kern w:val="0"/>
                <w:sz w:val="24"/>
              </w:rPr>
              <w:t>详细参数见附件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4</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合同履行地点和方式</w:t>
            </w:r>
          </w:p>
        </w:tc>
        <w:tc>
          <w:tcPr>
            <w:tcW w:w="5812" w:type="dxa"/>
            <w:vAlign w:val="center"/>
          </w:tcPr>
          <w:p>
            <w:pPr>
              <w:rPr>
                <w:rFonts w:ascii="仿宋" w:hAnsi="仿宋" w:eastAsia="仿宋" w:cs="楷体"/>
                <w:color w:val="auto"/>
                <w:kern w:val="0"/>
                <w:sz w:val="24"/>
              </w:rPr>
            </w:pPr>
            <w:r>
              <w:rPr>
                <w:rFonts w:hint="eastAsia" w:ascii="仿宋" w:hAnsi="仿宋" w:eastAsia="仿宋" w:cs="楷体"/>
                <w:b/>
                <w:bCs/>
                <w:color w:val="auto"/>
                <w:kern w:val="0"/>
                <w:sz w:val="24"/>
              </w:rPr>
              <w:t>履行</w:t>
            </w:r>
            <w:r>
              <w:rPr>
                <w:rFonts w:ascii="仿宋" w:hAnsi="仿宋" w:eastAsia="仿宋" w:cs="楷体"/>
                <w:b/>
                <w:bCs/>
                <w:color w:val="auto"/>
                <w:kern w:val="0"/>
                <w:sz w:val="24"/>
              </w:rPr>
              <w:t>地点：</w:t>
            </w:r>
            <w:r>
              <w:rPr>
                <w:rFonts w:ascii="仿宋" w:hAnsi="仿宋" w:eastAsia="仿宋" w:cs="楷体"/>
                <w:color w:val="auto"/>
                <w:kern w:val="0"/>
                <w:sz w:val="24"/>
              </w:rPr>
              <w:t>鹤山市</w:t>
            </w:r>
            <w:r>
              <w:rPr>
                <w:rFonts w:hint="eastAsia" w:ascii="仿宋" w:hAnsi="仿宋" w:eastAsia="仿宋" w:cs="楷体"/>
                <w:color w:val="auto"/>
                <w:kern w:val="0"/>
                <w:sz w:val="24"/>
              </w:rPr>
              <w:t>自然资源局</w:t>
            </w:r>
          </w:p>
          <w:p>
            <w:pPr>
              <w:rPr>
                <w:rFonts w:ascii="仿宋" w:hAnsi="仿宋" w:eastAsia="仿宋" w:cs="楷体"/>
                <w:color w:val="auto"/>
                <w:kern w:val="0"/>
                <w:sz w:val="24"/>
              </w:rPr>
            </w:pPr>
            <w:r>
              <w:rPr>
                <w:rFonts w:hint="eastAsia" w:ascii="仿宋" w:hAnsi="仿宋" w:eastAsia="仿宋" w:cs="楷体"/>
                <w:b/>
                <w:bCs/>
                <w:color w:val="auto"/>
                <w:kern w:val="0"/>
                <w:sz w:val="24"/>
              </w:rPr>
              <w:t>履行</w:t>
            </w:r>
            <w:r>
              <w:rPr>
                <w:rFonts w:ascii="仿宋" w:hAnsi="仿宋" w:eastAsia="仿宋" w:cs="楷体"/>
                <w:b/>
                <w:bCs/>
                <w:color w:val="auto"/>
                <w:kern w:val="0"/>
                <w:sz w:val="24"/>
              </w:rPr>
              <w:t>方式：</w:t>
            </w:r>
            <w:r>
              <w:rPr>
                <w:rFonts w:hint="eastAsia" w:ascii="仿宋" w:hAnsi="仿宋" w:eastAsia="仿宋" w:cs="楷体"/>
                <w:color w:val="auto"/>
                <w:kern w:val="0"/>
                <w:sz w:val="24"/>
              </w:rPr>
              <w:t>按照</w:t>
            </w:r>
            <w:r>
              <w:rPr>
                <w:rFonts w:ascii="仿宋" w:hAnsi="仿宋" w:eastAsia="仿宋" w:cs="楷体"/>
                <w:color w:val="auto"/>
                <w:kern w:val="0"/>
                <w:sz w:val="24"/>
              </w:rPr>
              <w:t>国家、行业标准履行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5</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项目预算和金额说明</w:t>
            </w:r>
          </w:p>
        </w:tc>
        <w:tc>
          <w:tcPr>
            <w:tcW w:w="5812" w:type="dxa"/>
            <w:vAlign w:val="center"/>
          </w:tcPr>
          <w:p>
            <w:pPr>
              <w:rPr>
                <w:rFonts w:ascii="仿宋" w:hAnsi="仿宋" w:eastAsia="仿宋" w:cs="楷体"/>
                <w:b/>
                <w:bCs/>
                <w:color w:val="auto"/>
                <w:kern w:val="0"/>
                <w:sz w:val="24"/>
              </w:rPr>
            </w:pPr>
            <w:r>
              <w:rPr>
                <w:rFonts w:hint="eastAsia" w:ascii="仿宋" w:hAnsi="仿宋" w:eastAsia="仿宋" w:cs="楷体"/>
                <w:b/>
                <w:bCs/>
                <w:color w:val="auto"/>
                <w:kern w:val="0"/>
                <w:sz w:val="24"/>
              </w:rPr>
              <w:t>项目预算为：￥56万元（人民币伍拾陆万元整）。</w:t>
            </w:r>
          </w:p>
          <w:p>
            <w:pPr>
              <w:rPr>
                <w:rFonts w:ascii="仿宋" w:hAnsi="仿宋" w:eastAsia="仿宋" w:cs="楷体"/>
                <w:color w:val="auto"/>
                <w:kern w:val="0"/>
                <w:sz w:val="24"/>
              </w:rPr>
            </w:pPr>
            <w:r>
              <w:rPr>
                <w:rFonts w:hint="eastAsia" w:ascii="仿宋" w:hAnsi="仿宋" w:eastAsia="仿宋" w:cs="楷体"/>
                <w:b/>
                <w:bCs/>
                <w:color w:val="auto"/>
                <w:kern w:val="0"/>
                <w:sz w:val="24"/>
              </w:rPr>
              <w:t>金额说明：</w:t>
            </w:r>
            <w:r>
              <w:rPr>
                <w:rFonts w:hint="eastAsia" w:ascii="仿宋" w:hAnsi="仿宋" w:eastAsia="仿宋" w:cs="楷体"/>
                <w:color w:val="auto"/>
                <w:kern w:val="0"/>
                <w:sz w:val="24"/>
              </w:rPr>
              <w:t>该金额为含税全包价，包括本项目所有人工、设备、材料、后续服务、各种税费以及合同实施过程中的不可预见费用等的一切费用。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6</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服务时间</w:t>
            </w:r>
          </w:p>
        </w:tc>
        <w:tc>
          <w:tcPr>
            <w:tcW w:w="5812"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1年（自合同签订之日起算）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7</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验收</w:t>
            </w:r>
          </w:p>
        </w:tc>
        <w:tc>
          <w:tcPr>
            <w:tcW w:w="5812" w:type="dxa"/>
            <w:vAlign w:val="center"/>
          </w:tcPr>
          <w:p>
            <w:pPr>
              <w:pStyle w:val="13"/>
              <w:ind w:firstLine="0" w:firstLineChars="0"/>
              <w:rPr>
                <w:rFonts w:hint="eastAsia" w:ascii="仿宋" w:hAnsi="仿宋" w:eastAsia="仿宋" w:cs="楷体"/>
                <w:color w:val="auto"/>
                <w:kern w:val="0"/>
                <w:sz w:val="24"/>
                <w:lang w:eastAsia="zh-CN"/>
              </w:rPr>
            </w:pPr>
            <w:r>
              <w:rPr>
                <w:rFonts w:hint="eastAsia" w:ascii="仿宋" w:hAnsi="仿宋" w:eastAsia="仿宋" w:cs="楷体"/>
                <w:color w:val="auto"/>
                <w:kern w:val="0"/>
                <w:sz w:val="24"/>
                <w:szCs w:val="24"/>
                <w:lang w:val="en-US" w:eastAsia="zh-CN" w:bidi="ar-SA"/>
              </w:rPr>
              <w:t>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8</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结算方式</w:t>
            </w:r>
          </w:p>
        </w:tc>
        <w:tc>
          <w:tcPr>
            <w:tcW w:w="5812"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9</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违约责任</w:t>
            </w:r>
          </w:p>
        </w:tc>
        <w:tc>
          <w:tcPr>
            <w:tcW w:w="5812"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具体的违约责任由双方在合同中约定。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10</w:t>
            </w:r>
          </w:p>
        </w:tc>
        <w:tc>
          <w:tcPr>
            <w:tcW w:w="2009" w:type="dxa"/>
            <w:vAlign w:val="center"/>
          </w:tcPr>
          <w:p>
            <w:pPr>
              <w:rPr>
                <w:rFonts w:ascii="仿宋" w:hAnsi="仿宋" w:eastAsia="仿宋" w:cs="楷体"/>
                <w:color w:val="auto"/>
                <w:kern w:val="0"/>
                <w:sz w:val="24"/>
              </w:rPr>
            </w:pPr>
            <w:r>
              <w:rPr>
                <w:rFonts w:hint="eastAsia" w:ascii="仿宋" w:hAnsi="仿宋" w:eastAsia="仿宋" w:cs="楷体"/>
                <w:color w:val="auto"/>
                <w:kern w:val="0"/>
                <w:sz w:val="24"/>
              </w:rPr>
              <w:t>解决争议方式</w:t>
            </w:r>
          </w:p>
        </w:tc>
        <w:tc>
          <w:tcPr>
            <w:tcW w:w="5812" w:type="dxa"/>
            <w:vAlign w:val="center"/>
          </w:tcPr>
          <w:p>
            <w:pPr>
              <w:pStyle w:val="13"/>
              <w:ind w:firstLine="0" w:firstLineChars="0"/>
              <w:rPr>
                <w:rFonts w:ascii="仿宋" w:hAnsi="仿宋" w:eastAsia="仿宋" w:cs="楷体"/>
                <w:color w:val="auto"/>
                <w:kern w:val="0"/>
                <w:sz w:val="24"/>
              </w:rPr>
            </w:pPr>
            <w:r>
              <w:rPr>
                <w:rFonts w:hint="eastAsia" w:ascii="仿宋" w:hAnsi="仿宋" w:eastAsia="仿宋" w:cs="楷体"/>
                <w:color w:val="auto"/>
                <w:kern w:val="0"/>
                <w:sz w:val="24"/>
              </w:rPr>
              <w:t>1</w:t>
            </w:r>
            <w:r>
              <w:rPr>
                <w:rFonts w:ascii="仿宋" w:hAnsi="仿宋" w:eastAsia="仿宋" w:cs="楷体"/>
                <w:color w:val="auto"/>
                <w:kern w:val="0"/>
                <w:sz w:val="24"/>
              </w:rPr>
              <w:t>.</w:t>
            </w:r>
            <w:r>
              <w:rPr>
                <w:rFonts w:hint="eastAsia" w:ascii="仿宋" w:hAnsi="仿宋" w:eastAsia="仿宋" w:cs="楷体"/>
                <w:color w:val="auto"/>
                <w:kern w:val="0"/>
                <w:sz w:val="24"/>
              </w:rPr>
              <w:t>采购合同中如有未尽事宜，双方协商一致后可以签订补充合同，但补充合同不得与《中华人民共和国合同法》相抵触。</w:t>
            </w:r>
          </w:p>
          <w:p>
            <w:pPr>
              <w:pStyle w:val="13"/>
              <w:ind w:firstLine="0" w:firstLineChars="0"/>
              <w:rPr>
                <w:rFonts w:hint="eastAsia" w:ascii="仿宋" w:hAnsi="仿宋" w:eastAsia="仿宋" w:cs="楷体"/>
                <w:color w:val="auto"/>
                <w:kern w:val="0"/>
                <w:sz w:val="24"/>
              </w:rPr>
            </w:pPr>
            <w:r>
              <w:rPr>
                <w:rFonts w:hint="eastAsia" w:ascii="仿宋" w:hAnsi="仿宋" w:eastAsia="仿宋" w:cs="楷体"/>
                <w:color w:val="auto"/>
                <w:kern w:val="0"/>
                <w:sz w:val="24"/>
              </w:rPr>
              <w:t>2</w:t>
            </w:r>
            <w:r>
              <w:rPr>
                <w:rFonts w:ascii="仿宋" w:hAnsi="仿宋" w:eastAsia="仿宋" w:cs="楷体"/>
                <w:color w:val="auto"/>
                <w:kern w:val="0"/>
                <w:sz w:val="24"/>
              </w:rPr>
              <w:t>.</w:t>
            </w:r>
            <w:r>
              <w:rPr>
                <w:rFonts w:hint="eastAsia" w:ascii="仿宋" w:hAnsi="仿宋" w:eastAsia="仿宋" w:cs="楷体"/>
                <w:color w:val="auto"/>
                <w:kern w:val="0"/>
                <w:sz w:val="24"/>
              </w:rPr>
              <w:t>对于合同履行中出现的纠纷，双方应协商解决。协商不成的，通过诉讼的方式解决。</w:t>
            </w:r>
          </w:p>
          <w:p>
            <w:pPr>
              <w:pStyle w:val="13"/>
              <w:ind w:firstLine="0" w:firstLineChars="0"/>
              <w:rPr>
                <w:rFonts w:hint="default" w:ascii="仿宋" w:hAnsi="仿宋" w:eastAsia="仿宋" w:cs="楷体"/>
                <w:color w:val="auto"/>
                <w:kern w:val="0"/>
                <w:sz w:val="24"/>
                <w:lang w:val="en-US" w:eastAsia="zh-CN"/>
              </w:rPr>
            </w:pPr>
            <w:r>
              <w:rPr>
                <w:rFonts w:hint="eastAsia" w:ascii="仿宋" w:hAnsi="仿宋" w:eastAsia="仿宋" w:cs="楷体"/>
                <w:color w:val="auto"/>
                <w:kern w:val="0"/>
                <w:sz w:val="24"/>
                <w:lang w:val="en-US" w:eastAsia="zh-CN"/>
              </w:rPr>
              <w:t>3.具体以合同为准。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9" w:type="dxa"/>
            <w:vAlign w:val="center"/>
          </w:tcPr>
          <w:p>
            <w:pPr>
              <w:jc w:val="center"/>
              <w:rPr>
                <w:rFonts w:ascii="仿宋" w:hAnsi="仿宋" w:eastAsia="仿宋" w:cs="楷体"/>
                <w:color w:val="auto"/>
                <w:kern w:val="0"/>
                <w:sz w:val="24"/>
              </w:rPr>
            </w:pPr>
            <w:r>
              <w:rPr>
                <w:rFonts w:hint="eastAsia" w:ascii="仿宋" w:hAnsi="仿宋" w:eastAsia="仿宋" w:cs="楷体"/>
                <w:color w:val="auto"/>
                <w:kern w:val="0"/>
                <w:sz w:val="24"/>
              </w:rPr>
              <w:t>11</w:t>
            </w:r>
          </w:p>
        </w:tc>
        <w:tc>
          <w:tcPr>
            <w:tcW w:w="2009" w:type="dxa"/>
            <w:vAlign w:val="center"/>
          </w:tcPr>
          <w:p>
            <w:pPr>
              <w:jc w:val="left"/>
              <w:rPr>
                <w:rFonts w:ascii="仿宋" w:hAnsi="仿宋" w:eastAsia="仿宋" w:cs="楷体"/>
                <w:color w:val="auto"/>
                <w:kern w:val="0"/>
                <w:sz w:val="24"/>
              </w:rPr>
            </w:pPr>
            <w:r>
              <w:rPr>
                <w:rFonts w:hint="eastAsia" w:ascii="仿宋" w:hAnsi="仿宋" w:eastAsia="仿宋" w:cs="楷体"/>
                <w:color w:val="auto"/>
                <w:kern w:val="0"/>
                <w:sz w:val="24"/>
              </w:rPr>
              <w:t>备注</w:t>
            </w:r>
          </w:p>
        </w:tc>
        <w:tc>
          <w:tcPr>
            <w:tcW w:w="5812" w:type="dxa"/>
            <w:vAlign w:val="center"/>
          </w:tcPr>
          <w:p>
            <w:pPr>
              <w:rPr>
                <w:rFonts w:hint="eastAsia" w:ascii="仿宋" w:hAnsi="仿宋" w:cs="楷体" w:eastAsiaTheme="minorEastAsia"/>
                <w:color w:val="auto"/>
                <w:kern w:val="0"/>
                <w:sz w:val="24"/>
                <w:lang w:eastAsia="zh-CN"/>
              </w:rPr>
            </w:pPr>
            <w:r>
              <w:rPr>
                <w:rFonts w:hint="eastAsia" w:ascii="仿宋" w:hAnsi="仿宋" w:eastAsia="仿宋" w:cs="楷体"/>
                <w:color w:val="auto"/>
                <w:kern w:val="0"/>
                <w:sz w:val="24"/>
                <w:lang w:eastAsia="zh-CN"/>
              </w:rPr>
              <w:t>带</w:t>
            </w:r>
            <w:r>
              <w:rPr>
                <w:rFonts w:hint="eastAsia" w:ascii="宋体" w:hAnsi="宋体"/>
                <w:color w:val="auto"/>
                <w:szCs w:val="21"/>
              </w:rPr>
              <w:t>★</w:t>
            </w:r>
            <w:r>
              <w:rPr>
                <w:rFonts w:hint="eastAsia" w:ascii="宋体" w:hAnsi="宋体"/>
                <w:color w:val="auto"/>
                <w:szCs w:val="21"/>
                <w:lang w:eastAsia="zh-CN"/>
              </w:rPr>
              <w:t>项目需要提供系统截图证明的提供复印件即可</w:t>
            </w:r>
          </w:p>
        </w:tc>
      </w:tr>
    </w:tbl>
    <w:p>
      <w:pPr>
        <w:rPr>
          <w:color w:val="auto"/>
        </w:rPr>
      </w:pPr>
    </w:p>
    <w:p>
      <w:pPr>
        <w:rPr>
          <w:color w:val="auto"/>
        </w:rPr>
      </w:pPr>
    </w:p>
    <w:p>
      <w:pPr>
        <w:pStyle w:val="2"/>
        <w:rPr>
          <w:rFonts w:hAnsi="宋体"/>
          <w:b w:val="0"/>
          <w:bCs w:val="0"/>
          <w:color w:val="auto"/>
        </w:rPr>
      </w:pPr>
      <w:r>
        <w:rPr>
          <w:rFonts w:hint="eastAsia" w:hAnsi="宋体"/>
          <w:b w:val="0"/>
          <w:bCs w:val="0"/>
          <w:color w:val="auto"/>
        </w:rPr>
        <w:t>附件1</w:t>
      </w:r>
      <w:bookmarkStart w:id="0" w:name="_Toc365882122"/>
      <w:bookmarkStart w:id="1" w:name="_Toc371259097"/>
      <w:r>
        <w:rPr>
          <w:rFonts w:hAnsi="宋体"/>
          <w:b w:val="0"/>
          <w:bCs w:val="0"/>
          <w:color w:val="auto"/>
        </w:rPr>
        <w:t xml:space="preserve"> </w:t>
      </w:r>
      <w:r>
        <w:rPr>
          <w:rFonts w:hint="eastAsia" w:hAnsi="宋体"/>
          <w:color w:val="auto"/>
        </w:rPr>
        <w:t>主要参数与需求</w:t>
      </w:r>
      <w:bookmarkEnd w:id="0"/>
      <w:bookmarkEnd w:id="1"/>
    </w:p>
    <w:p>
      <w:pPr>
        <w:pStyle w:val="6"/>
        <w:jc w:val="left"/>
        <w:rPr>
          <w:rFonts w:ascii="宋体" w:hAnsi="宋体"/>
          <w:color w:val="auto"/>
        </w:rPr>
      </w:pPr>
      <w:r>
        <w:rPr>
          <w:rFonts w:hint="eastAsia" w:ascii="宋体" w:hAnsi="宋体"/>
          <w:color w:val="auto"/>
        </w:rPr>
        <w:t>终端文件审计设备（1台）</w:t>
      </w:r>
    </w:p>
    <w:tbl>
      <w:tblPr>
        <w:tblStyle w:val="7"/>
        <w:tblW w:w="9075" w:type="dxa"/>
        <w:tblInd w:w="-291" w:type="dxa"/>
        <w:tblLayout w:type="fixed"/>
        <w:tblCellMar>
          <w:top w:w="0" w:type="dxa"/>
          <w:left w:w="108" w:type="dxa"/>
          <w:bottom w:w="0" w:type="dxa"/>
          <w:right w:w="108" w:type="dxa"/>
        </w:tblCellMar>
      </w:tblPr>
      <w:tblGrid>
        <w:gridCol w:w="1108"/>
        <w:gridCol w:w="1352"/>
        <w:gridCol w:w="6615"/>
      </w:tblGrid>
      <w:tr>
        <w:tblPrEx>
          <w:tblCellMar>
            <w:top w:w="0" w:type="dxa"/>
            <w:left w:w="108" w:type="dxa"/>
            <w:bottom w:w="0" w:type="dxa"/>
            <w:right w:w="108" w:type="dxa"/>
          </w:tblCellMar>
        </w:tblPrEx>
        <w:trPr>
          <w:trHeight w:val="276" w:hRule="atLeast"/>
        </w:trPr>
        <w:tc>
          <w:tcPr>
            <w:tcW w:w="2460" w:type="dxa"/>
            <w:gridSpan w:val="2"/>
            <w:tcBorders>
              <w:top w:val="single" w:color="auto" w:sz="4" w:space="0"/>
              <w:left w:val="single" w:color="auto" w:sz="4" w:space="0"/>
              <w:bottom w:val="single" w:color="auto" w:sz="4" w:space="0"/>
              <w:right w:val="single" w:color="auto" w:sz="4" w:space="0"/>
            </w:tcBorders>
            <w:shd w:val="clear" w:color="auto" w:fill="A4A4A4"/>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技术指标</w:t>
            </w:r>
          </w:p>
        </w:tc>
        <w:tc>
          <w:tcPr>
            <w:tcW w:w="6615" w:type="dxa"/>
            <w:tcBorders>
              <w:top w:val="single" w:color="auto" w:sz="4" w:space="0"/>
              <w:left w:val="nil"/>
              <w:bottom w:val="single" w:color="auto" w:sz="4" w:space="0"/>
              <w:right w:val="single" w:color="auto" w:sz="4" w:space="0"/>
            </w:tcBorders>
            <w:shd w:val="clear" w:color="auto" w:fill="A4A4A4"/>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参数要求</w:t>
            </w:r>
          </w:p>
        </w:tc>
      </w:tr>
      <w:tr>
        <w:trPr>
          <w:trHeight w:val="276" w:hRule="atLeast"/>
        </w:trPr>
        <w:tc>
          <w:tcPr>
            <w:tcW w:w="11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硬件规格</w:t>
            </w:r>
          </w:p>
        </w:tc>
        <w:tc>
          <w:tcPr>
            <w:tcW w:w="13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rPr>
            </w:pPr>
            <w:r>
              <w:rPr>
                <w:rFonts w:hint="eastAsia" w:ascii="宋体" w:hAnsi="宋体" w:cs="宋体"/>
                <w:color w:val="auto"/>
                <w:kern w:val="0"/>
                <w:szCs w:val="21"/>
              </w:rPr>
              <w:t>硬件要求</w:t>
            </w:r>
          </w:p>
        </w:tc>
        <w:tc>
          <w:tcPr>
            <w:tcW w:w="6615"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标准机架式硬件产品；单台设备至少包含4个1000M电口；至少支持500台设备的管理；</w:t>
            </w:r>
          </w:p>
        </w:tc>
      </w:tr>
      <w:tr>
        <w:tblPrEx>
          <w:tblCellMar>
            <w:top w:w="0" w:type="dxa"/>
            <w:left w:w="108" w:type="dxa"/>
            <w:bottom w:w="0" w:type="dxa"/>
            <w:right w:w="108" w:type="dxa"/>
          </w:tblCellMar>
        </w:tblPrEx>
        <w:trPr>
          <w:trHeight w:val="480" w:hRule="atLeast"/>
        </w:trPr>
        <w:tc>
          <w:tcPr>
            <w:tcW w:w="11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客户端</w:t>
            </w: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客户端防护</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支持客户端自我防护机制，客户端文件、进程、注册表、服务等都无法停止、修改、删除；</w:t>
            </w:r>
          </w:p>
        </w:tc>
      </w:tr>
      <w:tr>
        <w:tblPrEx>
          <w:tblCellMar>
            <w:top w:w="0" w:type="dxa"/>
            <w:left w:w="108" w:type="dxa"/>
            <w:bottom w:w="0" w:type="dxa"/>
            <w:right w:w="108" w:type="dxa"/>
          </w:tblCellMar>
        </w:tblPrEx>
        <w:trPr>
          <w:trHeight w:val="276"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安全模式</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支持客户端安全模式下运行，客户端策略依然生效；</w:t>
            </w:r>
          </w:p>
        </w:tc>
      </w:tr>
      <w:tr>
        <w:trPr>
          <w:trHeight w:val="276"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兼容性</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支持在Windows和MacOS、Linux安装。</w:t>
            </w:r>
          </w:p>
        </w:tc>
      </w:tr>
      <w:tr>
        <w:tblPrEx>
          <w:tblCellMar>
            <w:top w:w="0" w:type="dxa"/>
            <w:left w:w="108" w:type="dxa"/>
            <w:bottom w:w="0" w:type="dxa"/>
            <w:right w:w="108" w:type="dxa"/>
          </w:tblCellMar>
        </w:tblPrEx>
        <w:trPr>
          <w:trHeight w:val="276"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olor w:val="auto"/>
                <w:szCs w:val="21"/>
              </w:rPr>
              <w:t>功能在线调整</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olor w:val="auto"/>
                <w:szCs w:val="21"/>
              </w:rPr>
              <w:t>★支持客户端功能在线调整，在功能调整、问题验证等场景下支持客户端文件（配置文件、DLL等）实时替换，无需覆盖安装、重启终端。</w:t>
            </w:r>
            <w:r>
              <w:rPr>
                <w:rFonts w:hint="eastAsia" w:ascii="宋体" w:hAnsi="宋体" w:cs="宋体"/>
                <w:color w:val="auto"/>
                <w:szCs w:val="21"/>
              </w:rPr>
              <w:t>（提供系统截图证明）</w:t>
            </w:r>
          </w:p>
        </w:tc>
      </w:tr>
      <w:tr>
        <w:trPr>
          <w:trHeight w:val="276" w:hRule="atLeast"/>
        </w:trPr>
        <w:tc>
          <w:tcPr>
            <w:tcW w:w="110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终端安全管理授权</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00个</w:t>
            </w:r>
          </w:p>
        </w:tc>
      </w:tr>
      <w:tr>
        <w:tblPrEx>
          <w:tblCellMar>
            <w:top w:w="0" w:type="dxa"/>
            <w:left w:w="108" w:type="dxa"/>
            <w:bottom w:w="0" w:type="dxa"/>
            <w:right w:w="108" w:type="dxa"/>
          </w:tblCellMar>
        </w:tblPrEx>
        <w:trPr>
          <w:trHeight w:val="480" w:hRule="atLeast"/>
        </w:trPr>
        <w:tc>
          <w:tcPr>
            <w:tcW w:w="11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控制后台基本管理要求</w:t>
            </w: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部署模式</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支持分级部署，设置统一管理平台，对不同的地区、部门使用的服务端进行分级部署，上级可对下级统一下发策略强制执行，下级管理员无法修改。</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支持分布式部署，可将系统自身功能组件独立模块化分布式部署。</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策略管理</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★支持指定设备、设备组、用户、用户组、部门、IP、MAC下发策略,且断网状态下策略仍然生效，并可在用户离开当前网络时做到策略随行。（提供系统截图证明）</w:t>
            </w:r>
          </w:p>
        </w:tc>
      </w:tr>
      <w:tr>
        <w:trPr>
          <w:trHeight w:val="276"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可统一管理(修改、查询、复制)所有策略；可查看各种策略配置情况；查看具体设备配置了那些策略。</w:t>
            </w:r>
          </w:p>
        </w:tc>
      </w:tr>
      <w:tr>
        <w:tblPrEx>
          <w:tblCellMar>
            <w:top w:w="0" w:type="dxa"/>
            <w:left w:w="108" w:type="dxa"/>
            <w:bottom w:w="0" w:type="dxa"/>
            <w:right w:w="108" w:type="dxa"/>
          </w:tblCellMar>
        </w:tblPrEx>
        <w:trPr>
          <w:trHeight w:val="288"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支持例外策略的下发管理。可对单独终端实施策略；可标记例外终端。</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支持策略执行计划，工作时段定义，可配置上下班时间策略执行。</w:t>
            </w:r>
          </w:p>
        </w:tc>
      </w:tr>
      <w:tr>
        <w:tblPrEx>
          <w:tblCellMar>
            <w:top w:w="0" w:type="dxa"/>
            <w:left w:w="108" w:type="dxa"/>
            <w:bottom w:w="0" w:type="dxa"/>
            <w:right w:w="108" w:type="dxa"/>
          </w:tblCellMar>
        </w:tblPrEx>
        <w:trPr>
          <w:trHeight w:val="288"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策略场景定义客户端在线、客户端离线等状态，可从以下维度（互联网状态、本地IP范围、终端在线情况、VPN状态、网卡使用状态、TCP连接状态、ICMP连接状态、检测脚本、安全模式状态）定义。（提供系统截图证明）</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组织架构管理</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支持自动同步企业AD/LDAP上的组织架构部门信息、用户账号信息。</w:t>
            </w:r>
          </w:p>
        </w:tc>
      </w:tr>
      <w:tr>
        <w:tblPrEx>
          <w:tblCellMar>
            <w:top w:w="0" w:type="dxa"/>
            <w:left w:w="108" w:type="dxa"/>
            <w:bottom w:w="0" w:type="dxa"/>
            <w:right w:w="108" w:type="dxa"/>
          </w:tblCellMar>
        </w:tblPrEx>
        <w:trPr>
          <w:trHeight w:val="72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支持手工维护组织架构部门和成员信息，允许通过导入导出操作进行批量维护，支持将组织架构中任意成员指定为系统管理员。</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系统监控</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支持在控制台对后台服务器的注册、编辑、查询等管理动作。</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支持对已注册设备进行监控维护，可维护信息包括服务器名称、IP地址、当前版本、运行状态、磁盘空间、CPU负载、内存使用率。</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支持syslog、WebService等方式与第三方系统进行同步。</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系统支持第三方监控平台对接，支持通过SNMP监控、支持Zabbix监控。</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安全事件告警</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支持邮件、web提醒、短信等方式进行安全事件的告警。</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建立分权管理员角色</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支持建立三个角色，并配置三个管理员，建立超级管理员、管理员和审计员。</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管理员权限设置</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支持设置不同权限管理员；可对不同的管理员配置不同的权限。</w:t>
            </w:r>
          </w:p>
        </w:tc>
      </w:tr>
      <w:tr>
        <w:tblPrEx>
          <w:tblCellMar>
            <w:top w:w="0" w:type="dxa"/>
            <w:left w:w="108" w:type="dxa"/>
            <w:bottom w:w="0" w:type="dxa"/>
            <w:right w:w="108" w:type="dxa"/>
          </w:tblCellMar>
        </w:tblPrEx>
        <w:trPr>
          <w:trHeight w:val="720" w:hRule="atLeast"/>
        </w:trPr>
        <w:tc>
          <w:tcPr>
            <w:tcW w:w="110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功能扩展</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★支持准入控制、桌面管理、补丁管理、防病毒、移动终端管理、数据防泄露、水印等功能一体化管理。（提供系统截图证明）</w:t>
            </w:r>
          </w:p>
        </w:tc>
      </w:tr>
      <w:tr>
        <w:trPr>
          <w:trHeight w:val="552" w:hRule="atLeast"/>
        </w:trPr>
        <w:tc>
          <w:tcPr>
            <w:tcW w:w="11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设备概要信息</w:t>
            </w: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设备基本属性</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olor w:val="auto"/>
                <w:szCs w:val="21"/>
              </w:rPr>
              <w:t>★</w:t>
            </w:r>
            <w:r>
              <w:rPr>
                <w:rFonts w:hint="eastAsia" w:ascii="宋体" w:hAnsi="宋体" w:cs="宋体"/>
                <w:color w:val="auto"/>
                <w:kern w:val="0"/>
                <w:szCs w:val="21"/>
              </w:rPr>
              <w:t>支持以设备为维度，展示设备名称、IP、MAC地址、所属用户、所属部门、连接网络设备、连接网络设备端口、是否安装客户端、设备是否在线。（提供系统截图证明）</w:t>
            </w:r>
          </w:p>
        </w:tc>
      </w:tr>
      <w:tr>
        <w:tblPrEx>
          <w:tblCellMar>
            <w:top w:w="0" w:type="dxa"/>
            <w:left w:w="108" w:type="dxa"/>
            <w:bottom w:w="0" w:type="dxa"/>
            <w:right w:w="108" w:type="dxa"/>
          </w:tblCellMar>
        </w:tblPrEx>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软硬件资产管理</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支持自动采集终端设备信息，包括：硬件信息、操作系统信息、软件信息、用户信息、已应用的策略信息、历史IP地址信息等。</w:t>
            </w:r>
          </w:p>
        </w:tc>
      </w:tr>
      <w:tr>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支持查询客户端的软件实时及历史安装记录。</w:t>
            </w:r>
          </w:p>
        </w:tc>
      </w:tr>
      <w:tr>
        <w:tblPrEx>
          <w:tblCellMar>
            <w:top w:w="0" w:type="dxa"/>
            <w:left w:w="108" w:type="dxa"/>
            <w:bottom w:w="0" w:type="dxa"/>
            <w:right w:w="108" w:type="dxa"/>
          </w:tblCellMar>
        </w:tblPrEx>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支持可实时查看客户端的进程、运行程序。</w:t>
            </w:r>
          </w:p>
        </w:tc>
      </w:tr>
      <w:tr>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支持实时查看客户端的性能使用情况，及提供历史使用情况作参考，例如CPU、硬盘、内存、进程、网络状态等，并可设定阈值进行查询。</w:t>
            </w:r>
          </w:p>
        </w:tc>
      </w:tr>
      <w:tr>
        <w:tblPrEx>
          <w:tblCellMar>
            <w:top w:w="0" w:type="dxa"/>
            <w:left w:w="108" w:type="dxa"/>
            <w:bottom w:w="0" w:type="dxa"/>
            <w:right w:w="108" w:type="dxa"/>
          </w:tblCellMar>
        </w:tblPrEx>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jc w:val="left"/>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支持显示完整的终端信息，包含但不限于：计算机名、用户名、操作系统版本及主机进程信息、主机端口信息、主机服务信息。</w:t>
            </w:r>
            <w:r>
              <w:rPr>
                <w:rFonts w:hint="eastAsia" w:ascii="宋体" w:hAnsi="宋体" w:cs="宋体"/>
                <w:color w:val="auto"/>
                <w:szCs w:val="21"/>
              </w:rPr>
              <w:br w:type="textWrapping"/>
            </w:r>
            <w:r>
              <w:rPr>
                <w:rFonts w:hint="eastAsia" w:ascii="宋体" w:hAnsi="宋体" w:cs="宋体"/>
                <w:color w:val="auto"/>
                <w:szCs w:val="21"/>
              </w:rPr>
              <w:t>主机进程信息：进程名、进程PID、内存占用、虚拟内存占用、IO读速度、IO读取次数、IO写入速度、IO写入次数、线程数、句柄数、CPU时间、基本优先级、进程路径、进程参数、进程文件厂商、进程所属用户、进程文件创建时间和修改时间；</w:t>
            </w:r>
            <w:r>
              <w:rPr>
                <w:rFonts w:hint="eastAsia" w:ascii="宋体" w:hAnsi="宋体" w:cs="宋体"/>
                <w:color w:val="auto"/>
                <w:szCs w:val="21"/>
              </w:rPr>
              <w:t>（提供系统截图证明）</w:t>
            </w:r>
          </w:p>
          <w:p>
            <w:pPr>
              <w:jc w:val="left"/>
              <w:rPr>
                <w:rFonts w:ascii="宋体" w:hAnsi="宋体" w:cs="宋体"/>
                <w:color w:val="auto"/>
                <w:szCs w:val="21"/>
              </w:rPr>
            </w:pPr>
            <w:r>
              <w:rPr>
                <w:rFonts w:hint="eastAsia" w:ascii="宋体" w:hAnsi="宋体" w:cs="宋体"/>
                <w:color w:val="auto"/>
                <w:szCs w:val="21"/>
              </w:rPr>
              <w:t>主机端口信息：网络协议、本地IP地址、本地端口、远程IP地址、远程端口、连接状态、进程PID、进程命令行；</w:t>
            </w:r>
            <w:r>
              <w:rPr>
                <w:rFonts w:hint="eastAsia" w:ascii="宋体" w:hAnsi="宋体" w:cs="宋体"/>
                <w:color w:val="auto"/>
                <w:szCs w:val="21"/>
              </w:rPr>
              <w:t>（提供系统截图证明）</w:t>
            </w:r>
          </w:p>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主机服务信息：服务名、显示名称、服务描述信息、启动类型、服务状态、可执行文件路径、文件厂商、文件创建时间、文件修改时间。</w:t>
            </w:r>
            <w:r>
              <w:rPr>
                <w:rFonts w:hint="eastAsia" w:ascii="宋体" w:hAnsi="宋体" w:cs="宋体"/>
                <w:color w:val="auto"/>
                <w:szCs w:val="21"/>
              </w:rPr>
              <w:t>（提供系统截图证明）</w:t>
            </w:r>
          </w:p>
        </w:tc>
      </w:tr>
      <w:tr>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支持对设备的CPU、内存条、显卡、光驱、硬盘、主板、网卡等进行监控，变更后产生告警；支持对设备所有的软件变化进行监控，变更后产生告警。</w:t>
            </w:r>
          </w:p>
        </w:tc>
      </w:tr>
      <w:tr>
        <w:tblPrEx>
          <w:tblCellMar>
            <w:top w:w="0" w:type="dxa"/>
            <w:left w:w="108" w:type="dxa"/>
            <w:bottom w:w="0" w:type="dxa"/>
            <w:right w:w="108" w:type="dxa"/>
          </w:tblCellMar>
        </w:tblPrEx>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支持及时发现网络中出现新的网络设备或主机，并产生告警。</w:t>
            </w:r>
          </w:p>
        </w:tc>
      </w:tr>
      <w:tr>
        <w:trPr>
          <w:trHeight w:val="552"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支持自定义工作时间段，设备在非工作时间段内，开机运行时，控制台会及时发现，并产生告警。</w:t>
            </w:r>
          </w:p>
        </w:tc>
      </w:tr>
      <w:tr>
        <w:tblPrEx>
          <w:tblCellMar>
            <w:top w:w="0" w:type="dxa"/>
            <w:left w:w="108" w:type="dxa"/>
            <w:bottom w:w="0" w:type="dxa"/>
            <w:right w:w="108" w:type="dxa"/>
          </w:tblCellMar>
        </w:tblPrEx>
        <w:trPr>
          <w:trHeight w:val="9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设备控制</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支持对客户端发起一键断网，关机，重启等。</w:t>
            </w:r>
          </w:p>
        </w:tc>
      </w:tr>
      <w:tr>
        <w:trPr>
          <w:trHeight w:val="96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自定义设备组</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olor w:val="auto"/>
                <w:szCs w:val="21"/>
              </w:rPr>
              <w:t>★</w:t>
            </w:r>
            <w:r>
              <w:rPr>
                <w:rFonts w:hint="eastAsia" w:ascii="宋体" w:hAnsi="宋体" w:cs="宋体"/>
                <w:color w:val="auto"/>
                <w:szCs w:val="21"/>
              </w:rPr>
              <w:t>支持自定义设备分组，根据IP地址范围、网段、部门、设备名称通配符、CPU频率大小范围、磁盘容量大小范围、内存容量大小范围、MAC地址范围、安软的软件、操作系统、操作系统语言、CPU型号、设备类型、设备状态、设备接入状态、代理类型、客户端状态、客户端版本等条件自动将设备划分设备组，并支持例外。</w:t>
            </w:r>
            <w:r>
              <w:rPr>
                <w:rFonts w:hint="eastAsia" w:ascii="宋体" w:hAnsi="宋体" w:cs="宋体"/>
                <w:color w:val="auto"/>
                <w:szCs w:val="21"/>
              </w:rPr>
              <w:t>（提供系统截图证明）</w:t>
            </w:r>
          </w:p>
        </w:tc>
      </w:tr>
      <w:tr>
        <w:tblPrEx>
          <w:tblCellMar>
            <w:top w:w="0" w:type="dxa"/>
            <w:left w:w="108" w:type="dxa"/>
            <w:bottom w:w="0" w:type="dxa"/>
            <w:right w:w="108" w:type="dxa"/>
          </w:tblCellMar>
        </w:tblPrEx>
        <w:trPr>
          <w:trHeight w:val="96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kern w:val="0"/>
                <w:szCs w:val="21"/>
              </w:rPr>
              <w:t>设备查询</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w:t>
            </w:r>
            <w:r>
              <w:rPr>
                <w:rFonts w:hint="eastAsia" w:ascii="宋体" w:hAnsi="宋体" w:cs="宋体"/>
                <w:color w:val="auto"/>
                <w:szCs w:val="21"/>
              </w:rPr>
              <w:t>支持检索通过NAT接入的没安装客户端的设备，并设置任意组合进行查询其IP地址、MAC地址、设备名称、设备类型、设备位置、连接交换机、设备状态、代理状态、客户端运行状态操作系统、设备描述、曾用NAT设备IP地址、NAT接入时间、设备最近启动时间、设备最近离线时间、设备发现时间等。</w:t>
            </w:r>
            <w:r>
              <w:rPr>
                <w:rFonts w:hint="eastAsia" w:ascii="宋体" w:hAnsi="宋体" w:cs="宋体"/>
                <w:color w:val="auto"/>
                <w:szCs w:val="21"/>
              </w:rPr>
              <w:t>（提供系统截图证明）</w:t>
            </w:r>
          </w:p>
        </w:tc>
      </w:tr>
      <w:tr>
        <w:trPr>
          <w:trHeight w:val="346"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olor w:val="auto"/>
                <w:szCs w:val="21"/>
              </w:rPr>
              <w:t>★</w:t>
            </w:r>
            <w:r>
              <w:rPr>
                <w:rFonts w:hint="eastAsia" w:ascii="宋体" w:hAnsi="宋体" w:cs="宋体"/>
                <w:color w:val="auto"/>
                <w:szCs w:val="21"/>
              </w:rPr>
              <w:t>支持根据硬件信息检索设备，并设置任意组合进行查询其IP地址、MAC地址、设备名称、设备类型、网段、网段组、用户、部门、设备组、设备位置、连接交换机、设备状态、客户端运行状态、主板型号、主板序列号、BIOS制造商、PCI设备描述、CPU型号、设备历史IP、软件名称、CPU频率、内存大小、硬盘大小、操作系统、设备最近启动时间、设备最近离线时间、设备发现时间。</w:t>
            </w:r>
            <w:r>
              <w:rPr>
                <w:rFonts w:hint="eastAsia" w:ascii="宋体" w:hAnsi="宋体" w:cs="宋体"/>
                <w:color w:val="auto"/>
                <w:szCs w:val="21"/>
              </w:rPr>
              <w:t>（提供系统截图证明）</w:t>
            </w:r>
          </w:p>
        </w:tc>
      </w:tr>
      <w:tr>
        <w:tblPrEx>
          <w:tblCellMar>
            <w:top w:w="0" w:type="dxa"/>
            <w:left w:w="108" w:type="dxa"/>
            <w:bottom w:w="0" w:type="dxa"/>
            <w:right w:w="108" w:type="dxa"/>
          </w:tblCellMar>
        </w:tblPrEx>
        <w:trPr>
          <w:trHeight w:val="136" w:hRule="atLeast"/>
        </w:trPr>
        <w:tc>
          <w:tcPr>
            <w:tcW w:w="11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szCs w:val="21"/>
              </w:rPr>
              <w:t>支持远程获取诊断信息和日志。</w:t>
            </w:r>
          </w:p>
        </w:tc>
      </w:tr>
      <w:tr>
        <w:trPr>
          <w:trHeight w:val="720" w:hRule="atLeast"/>
        </w:trPr>
        <w:tc>
          <w:tcPr>
            <w:tcW w:w="110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olor w:val="auto"/>
                <w:kern w:val="0"/>
                <w:szCs w:val="21"/>
              </w:rPr>
              <w:t>数据识别</w:t>
            </w: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基础识别</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支持关键字检测内容，关键字支持中文繁体，英文忽略大小写。</w:t>
            </w:r>
          </w:p>
        </w:tc>
      </w:tr>
      <w:tr>
        <w:tblPrEx>
          <w:tblCellMar>
            <w:top w:w="0" w:type="dxa"/>
            <w:left w:w="108" w:type="dxa"/>
            <w:bottom w:w="0" w:type="dxa"/>
            <w:right w:w="108" w:type="dxa"/>
          </w:tblCellMar>
        </w:tblPrEx>
        <w:trPr>
          <w:trHeight w:val="72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支持批量关键字检测规则。支持统计重复关键字及特殊关键字的精确匹配模式。</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支持词典模糊检测内容，可设置多个关键字至少命中个数。</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支持正则表达式检测内容，正则表达式包括电话号码、银行卡号、身份证号、姓名、地址、邮箱、快递单号等；支持设置最少正则命中次数。</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文档DNA</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支持对各类Office、PDF等主流文档学习生成敏感数据DNA防止重要文档泄露。</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文档分类器</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提供文档聚类分析工具，可对一批文档进行自动聚类、提取特征、样本验证。</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restart"/>
            <w:tcBorders>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文件识别</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支持至少主流文件类型真实格式与内容的识别，识别文档的原有格式，不受后缀名称的影响。</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支持对多层文档嵌套的泄露行为进行检查，应最少支持不低于10层的文件内容检测，能够发现任何一层文档中含有的敏感信息。</w:t>
            </w:r>
          </w:p>
        </w:tc>
      </w:tr>
      <w:tr>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支持对特定的文件名称、文件MD5、文件类型、加密文件、特定的大小的文件、创建日期为一定范围内的文件、修改日期为一定范围内的文件、进行识别。</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支持识别常见的文件内容，包括doc、docx、xls、xlsx、ppt、pptx、pdf、zip、rar、7z、txt等。</w:t>
            </w:r>
          </w:p>
        </w:tc>
      </w:tr>
      <w:tr>
        <w:trPr>
          <w:trHeight w:val="960" w:hRule="atLeast"/>
        </w:trPr>
        <w:tc>
          <w:tcPr>
            <w:tcW w:w="1108" w:type="dxa"/>
            <w:vMerge w:val="continue"/>
            <w:tcBorders>
              <w:left w:val="single" w:color="auto" w:sz="4" w:space="0"/>
              <w:right w:val="single" w:color="auto" w:sz="4" w:space="0"/>
            </w:tcBorders>
            <w:vAlign w:val="center"/>
          </w:tcPr>
          <w:p>
            <w:pPr>
              <w:widowControl/>
              <w:jc w:val="center"/>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支持“源代码”文件类型的识别，防止源代码文件的泄露（PHP、C#、VB、Html等13种源代码）。</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文件属性</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支持对不可识别的文件（如EXE、DLL)，进行告警。</w:t>
            </w:r>
          </w:p>
        </w:tc>
      </w:tr>
      <w:tr>
        <w:trPr>
          <w:trHeight w:val="480" w:hRule="atLeast"/>
        </w:trPr>
        <w:tc>
          <w:tcPr>
            <w:tcW w:w="1108" w:type="dxa"/>
            <w:vMerge w:val="restart"/>
            <w:tcBorders>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olor w:val="auto"/>
                <w:kern w:val="0"/>
                <w:szCs w:val="21"/>
              </w:rPr>
              <w:t>数据识别规则定义</w:t>
            </w: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敏感级别定义</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支持自定义文档的敏感级别、敏感类别，并设定自动匹配规则。</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敏感规则组合</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支持多个策略规则组合中设置规则同时匹配的数量，提高敏感数据识别效果，降低误报率。（如姓名、银行卡、身份证、手机号、住址等数据分别命中多少次）</w:t>
            </w:r>
          </w:p>
        </w:tc>
      </w:tr>
      <w:tr>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策略导入导出</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可以对单条策略进行模板模式的实时导出/导入，方便运维管理。</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页数、字数、行数检测策略</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可以匹配文档的页数、字数、行数、以及图片数量等，也就是按照信息量的大小去界定是否敏感，在相关的外发通道时可以引用这些规则进行敏感检查，审计信息可以看到命中文档的页数、行数、字数、以及图片数量等，并且可以根据这些信息进行查询。</w:t>
            </w:r>
          </w:p>
        </w:tc>
      </w:tr>
      <w:tr>
        <w:trPr>
          <w:trHeight w:val="480" w:hRule="atLeast"/>
        </w:trPr>
        <w:tc>
          <w:tcPr>
            <w:tcW w:w="1108" w:type="dxa"/>
            <w:vMerge w:val="restart"/>
            <w:tcBorders>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olor w:val="auto"/>
                <w:kern w:val="0"/>
                <w:szCs w:val="21"/>
              </w:rPr>
              <w:t>主动扫描</w:t>
            </w: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扫描周期与范围</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支持自定义扫描时间周期；可设定扫描全盘、指定目录、排除指定目录。</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智能扫描</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支持闲时扫描：设置CPU、内存阀值，超过阀值停止扫描，当终端键盘或鼠标无操作时进行闲时扫描。</w:t>
            </w:r>
          </w:p>
        </w:tc>
      </w:tr>
      <w:tr>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保护动作</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支持将扫描到的敏感文件上传备份，支持文件上传时间段；支持将扫描到的敏感文件复制或剪切到安全虚拟磁盘。</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扫描记录</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可记录每次扫描任务的开始时间、敏感文件总数、每个级别数量。</w:t>
            </w:r>
          </w:p>
        </w:tc>
      </w:tr>
      <w:tr>
        <w:trPr>
          <w:trHeight w:val="480" w:hRule="atLeast"/>
        </w:trPr>
        <w:tc>
          <w:tcPr>
            <w:tcW w:w="1108" w:type="dxa"/>
            <w:vMerge w:val="restart"/>
            <w:tcBorders>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通道管控</w:t>
            </w: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上网管控</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审计与禁止Web访问行为；支持对网站进行分类、并定期更新后导入；支持http、https的URL访问与上传控制；支持对访问的域名进行检测；支持对论坛发帖内容进行敏感内容检测；支持对网页上传附件进行审计并留档。（支持IE、Firefox、Chrome等浏览器）</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kern w:val="0"/>
                <w:szCs w:val="21"/>
              </w:rPr>
              <w:t>文件操作管控</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支持管控终端上的文件操作，文件源或目的为本地硬盘、移动存储介质（U盘、移动硬盘、SD卡）、网络共享、mstsc远程桌面或其他存储设备，可以进行禁止、审计、备份等管控操作。</w:t>
            </w:r>
          </w:p>
        </w:tc>
      </w:tr>
      <w:tr>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right w:val="single" w:color="auto" w:sz="4" w:space="0"/>
            </w:tcBorders>
            <w:vAlign w:val="center"/>
          </w:tcPr>
          <w:p>
            <w:pPr>
              <w:widowControl/>
              <w:jc w:val="center"/>
              <w:rPr>
                <w:rFonts w:ascii="宋体" w:hAnsi="宋体" w:cs="宋体"/>
                <w:color w:val="auto"/>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支持对文件的读、写、复制、剪切、创建、删除、另存为、新建、重命名等动作进行监控。</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记录文件路径、文件名、文件大小；文件操作过程中进行敏感检查；对行为进行阻断；对拷贝进行加密、解密、审批、审计、上传拷贝文件副本；对操作过程进行触发式屏幕录像；自定义统一提示信息、默认提示行为内容信息、支持全局提示信息；对以上提交进行任意组合；而且可定义组合条件执行顺序。</w:t>
            </w:r>
          </w:p>
        </w:tc>
      </w:tr>
      <w:tr>
        <w:trPr>
          <w:trHeight w:val="480" w:hRule="atLeast"/>
        </w:trPr>
        <w:tc>
          <w:tcPr>
            <w:tcW w:w="1108" w:type="dxa"/>
            <w:vMerge w:val="continue"/>
            <w:tcBorders>
              <w:left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szCs w:val="21"/>
              </w:rPr>
            </w:pPr>
            <w:r>
              <w:rPr>
                <w:rFonts w:hint="eastAsia" w:ascii="宋体" w:hAnsi="宋体" w:cs="宋体"/>
                <w:color w:val="auto"/>
                <w:szCs w:val="21"/>
              </w:rPr>
              <w:t>打印管控</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支持对文件的打印行为进行安全管控，可基于打印机的访问IP、端口、型号特征进行黑白名单管理。</w:t>
            </w:r>
          </w:p>
        </w:tc>
      </w:tr>
      <w:tr>
        <w:tblPrEx>
          <w:tblCellMar>
            <w:top w:w="0" w:type="dxa"/>
            <w:left w:w="108" w:type="dxa"/>
            <w:bottom w:w="0" w:type="dxa"/>
            <w:right w:w="108" w:type="dxa"/>
          </w:tblCellMar>
        </w:tblPrEx>
        <w:trPr>
          <w:trHeight w:val="480" w:hRule="atLeast"/>
        </w:trPr>
        <w:tc>
          <w:tcPr>
            <w:tcW w:w="11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szCs w:val="21"/>
              </w:rPr>
            </w:pPr>
            <w:r>
              <w:rPr>
                <w:rFonts w:hint="eastAsia" w:ascii="宋体" w:hAnsi="宋体" w:cs="宋体"/>
                <w:color w:val="auto"/>
                <w:szCs w:val="21"/>
              </w:rPr>
              <w:t>支持对打印文件进行禁止、审计、备份等管控操作。</w:t>
            </w:r>
          </w:p>
        </w:tc>
      </w:tr>
      <w:tr>
        <w:trPr>
          <w:trHeight w:val="720" w:hRule="atLeast"/>
        </w:trPr>
        <w:tc>
          <w:tcPr>
            <w:tcW w:w="11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安全U盘控制</w:t>
            </w: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管控选项</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审计所有操作；并可在拷贝文件进安全U盘时上传文件。</w:t>
            </w:r>
          </w:p>
        </w:tc>
      </w:tr>
      <w:tr>
        <w:tblPrEx>
          <w:tblCellMar>
            <w:top w:w="0" w:type="dxa"/>
            <w:left w:w="108" w:type="dxa"/>
            <w:bottom w:w="0" w:type="dxa"/>
            <w:right w:w="108" w:type="dxa"/>
          </w:tblCellMar>
        </w:tblPrEx>
        <w:trPr>
          <w:trHeight w:val="720"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备份安全U盘的登录密码到后台。</w:t>
            </w:r>
          </w:p>
        </w:tc>
      </w:tr>
      <w:tr>
        <w:trPr>
          <w:trHeight w:val="720"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restart"/>
            <w:tcBorders>
              <w:top w:val="nil"/>
              <w:left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读写控制</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禁止/允许拷贝文件进安全U盘；从安全U盘拷贝文件到本地磁盘。</w:t>
            </w:r>
          </w:p>
        </w:tc>
      </w:tr>
      <w:tr>
        <w:tblPrEx>
          <w:tblCellMar>
            <w:top w:w="0" w:type="dxa"/>
            <w:left w:w="108" w:type="dxa"/>
            <w:bottom w:w="0" w:type="dxa"/>
            <w:right w:w="108" w:type="dxa"/>
          </w:tblCellMar>
        </w:tblPrEx>
        <w:trPr>
          <w:trHeight w:val="720"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禁止/允许安全U盘内部写操作（覆盖，删除，复制，剪切，新建文件夹，重命名）。</w:t>
            </w:r>
          </w:p>
        </w:tc>
      </w:tr>
      <w:tr>
        <w:trPr>
          <w:trHeight w:val="720"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文件拷贝审批</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如果通过移动存储介质（U盘、SD卡等存储类设备）拷贝文件出去的时候，客户端弹出告警框，提示审批。</w:t>
            </w:r>
          </w:p>
        </w:tc>
      </w:tr>
      <w:tr>
        <w:tblPrEx>
          <w:tblCellMar>
            <w:top w:w="0" w:type="dxa"/>
            <w:left w:w="108" w:type="dxa"/>
            <w:bottom w:w="0" w:type="dxa"/>
            <w:right w:w="108" w:type="dxa"/>
          </w:tblCellMar>
        </w:tblPrEx>
        <w:trPr>
          <w:trHeight w:val="720"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szCs w:val="21"/>
              </w:rPr>
              <w:t>文件拷贝加密</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支持通过移动存储介质（U盘、SD卡等存储类设备）拷贝文件出去的时候，文件自动加密。支持解密提交审批流程或者拷贝到已经安装有客户端解密终端自动解密。</w:t>
            </w:r>
          </w:p>
        </w:tc>
      </w:tr>
      <w:tr>
        <w:trPr>
          <w:trHeight w:val="480" w:hRule="atLeast"/>
        </w:trPr>
        <w:tc>
          <w:tcPr>
            <w:tcW w:w="11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szCs w:val="21"/>
              </w:rPr>
              <w:t>敏感检查</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olor w:val="auto"/>
                <w:szCs w:val="21"/>
              </w:rPr>
              <w:t>★</w:t>
            </w:r>
            <w:r>
              <w:rPr>
                <w:rFonts w:hint="eastAsia" w:ascii="宋体" w:hAnsi="宋体" w:cs="宋体"/>
                <w:color w:val="auto"/>
                <w:szCs w:val="21"/>
              </w:rPr>
              <w:t>支持对读、写安全U盘的文档进行敏感内容检查。（提供系统截图证明）</w:t>
            </w:r>
          </w:p>
        </w:tc>
      </w:tr>
      <w:tr>
        <w:tblPrEx>
          <w:tblCellMar>
            <w:top w:w="0" w:type="dxa"/>
            <w:left w:w="108" w:type="dxa"/>
            <w:bottom w:w="0" w:type="dxa"/>
            <w:right w:w="108" w:type="dxa"/>
          </w:tblCellMar>
        </w:tblPrEx>
        <w:trPr>
          <w:trHeight w:val="480" w:hRule="atLeast"/>
        </w:trPr>
        <w:tc>
          <w:tcPr>
            <w:tcW w:w="110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olor w:val="auto"/>
                <w:kern w:val="0"/>
                <w:szCs w:val="21"/>
              </w:rPr>
              <w:t>事件日志</w:t>
            </w:r>
          </w:p>
        </w:tc>
        <w:tc>
          <w:tcPr>
            <w:tcW w:w="1352" w:type="dxa"/>
            <w:vMerge w:val="restart"/>
            <w:tcBorders>
              <w:top w:val="nil"/>
              <w:left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自动告警</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★支持在一个事件产生时，系统可以自动的发送邮件警告给用户、用户上级，DLP管理员。邮件的主题，信体等内容均可以定制。（提供系统截图证明）</w:t>
            </w:r>
          </w:p>
        </w:tc>
      </w:tr>
      <w:tr>
        <w:trPr>
          <w:trHeight w:val="480" w:hRule="atLeast"/>
        </w:trPr>
        <w:tc>
          <w:tcPr>
            <w:tcW w:w="11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szCs w:val="21"/>
              </w:rPr>
              <w:t>支持按不同参数进行查询、过滤和排序报告。方便对所有的日志进行精确查询和报告，例如用户、部门、IP、MAC、设备名称、策略组、策略规则、严重性、用户名等。</w:t>
            </w:r>
          </w:p>
        </w:tc>
      </w:tr>
      <w:tr>
        <w:tblPrEx>
          <w:tblCellMar>
            <w:top w:w="0" w:type="dxa"/>
            <w:left w:w="108" w:type="dxa"/>
            <w:bottom w:w="0" w:type="dxa"/>
            <w:right w:w="108" w:type="dxa"/>
          </w:tblCellMar>
        </w:tblPrEx>
        <w:trPr>
          <w:trHeight w:val="480"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售后服务</w:t>
            </w:r>
          </w:p>
        </w:tc>
        <w:tc>
          <w:tcPr>
            <w:tcW w:w="6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rPr>
            </w:pPr>
            <w:r>
              <w:rPr>
                <w:rFonts w:hint="eastAsia" w:ascii="宋体" w:hAnsi="宋体" w:cs="宋体"/>
                <w:color w:val="auto"/>
                <w:kern w:val="0"/>
                <w:szCs w:val="21"/>
              </w:rPr>
              <w:t>原厂三年保修服务。</w:t>
            </w:r>
          </w:p>
        </w:tc>
      </w:tr>
    </w:tbl>
    <w:p>
      <w:pPr>
        <w:rPr>
          <w:rFonts w:ascii="宋体" w:hAnsi="宋体"/>
          <w:color w:val="auto"/>
        </w:rPr>
      </w:pPr>
    </w:p>
    <w:p>
      <w:pPr>
        <w:pStyle w:val="6"/>
        <w:jc w:val="left"/>
        <w:rPr>
          <w:rFonts w:ascii="宋体" w:hAnsi="宋体"/>
          <w:color w:val="auto"/>
        </w:rPr>
      </w:pPr>
      <w:r>
        <w:rPr>
          <w:rFonts w:hint="eastAsia" w:ascii="宋体" w:hAnsi="宋体"/>
          <w:color w:val="auto"/>
        </w:rPr>
        <w:t>备份软件授权扩容（1套）</w:t>
      </w:r>
    </w:p>
    <w:tbl>
      <w:tblPr>
        <w:tblStyle w:val="7"/>
        <w:tblW w:w="9102" w:type="dxa"/>
        <w:tblInd w:w="-318" w:type="dxa"/>
        <w:tblLayout w:type="fixed"/>
        <w:tblCellMar>
          <w:top w:w="0" w:type="dxa"/>
          <w:left w:w="108" w:type="dxa"/>
          <w:bottom w:w="0" w:type="dxa"/>
          <w:right w:w="108" w:type="dxa"/>
        </w:tblCellMar>
      </w:tblPr>
      <w:tblGrid>
        <w:gridCol w:w="2487"/>
        <w:gridCol w:w="6615"/>
      </w:tblGrid>
      <w:tr>
        <w:tblPrEx>
          <w:tblCellMar>
            <w:top w:w="0" w:type="dxa"/>
            <w:left w:w="108" w:type="dxa"/>
            <w:bottom w:w="0" w:type="dxa"/>
            <w:right w:w="108" w:type="dxa"/>
          </w:tblCellMar>
        </w:tblPrEx>
        <w:trPr>
          <w:trHeight w:val="276" w:hRule="atLeast"/>
        </w:trPr>
        <w:tc>
          <w:tcPr>
            <w:tcW w:w="2487" w:type="dxa"/>
            <w:tcBorders>
              <w:top w:val="single" w:color="auto" w:sz="4" w:space="0"/>
              <w:left w:val="single" w:color="auto" w:sz="4" w:space="0"/>
              <w:bottom w:val="single" w:color="auto" w:sz="4" w:space="0"/>
              <w:right w:val="single" w:color="auto" w:sz="4" w:space="0"/>
            </w:tcBorders>
            <w:shd w:val="clear" w:color="auto" w:fill="A4A4A4"/>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Cs w:val="21"/>
              </w:rPr>
              <w:t>技术指标</w:t>
            </w:r>
          </w:p>
        </w:tc>
        <w:tc>
          <w:tcPr>
            <w:tcW w:w="6615" w:type="dxa"/>
            <w:tcBorders>
              <w:top w:val="single" w:color="auto" w:sz="4" w:space="0"/>
              <w:left w:val="nil"/>
              <w:bottom w:val="single" w:color="auto" w:sz="4" w:space="0"/>
              <w:right w:val="single" w:color="auto" w:sz="4" w:space="0"/>
            </w:tcBorders>
            <w:shd w:val="clear" w:color="auto" w:fill="A4A4A4"/>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Cs w:val="21"/>
              </w:rPr>
              <w:t>参数要求</w:t>
            </w:r>
          </w:p>
        </w:tc>
      </w:tr>
      <w:tr>
        <w:tblPrEx>
          <w:tblCellMar>
            <w:top w:w="0" w:type="dxa"/>
            <w:left w:w="108" w:type="dxa"/>
            <w:bottom w:w="0" w:type="dxa"/>
            <w:right w:w="108" w:type="dxa"/>
          </w:tblCellMar>
        </w:tblPrEx>
        <w:trPr>
          <w:trHeight w:val="288" w:hRule="atLeast"/>
        </w:trPr>
        <w:tc>
          <w:tcPr>
            <w:tcW w:w="24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容灾备份系统使用许可</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 xml:space="preserve">现有容灾备份系统扩容 </w:t>
            </w:r>
            <w:r>
              <w:rPr>
                <w:rFonts w:ascii="宋体" w:hAnsi="宋体" w:cs="宋体"/>
                <w:color w:val="auto"/>
                <w:kern w:val="0"/>
                <w:szCs w:val="21"/>
              </w:rPr>
              <w:t>30</w:t>
            </w:r>
            <w:r>
              <w:rPr>
                <w:rFonts w:hint="eastAsia" w:ascii="宋体" w:hAnsi="宋体" w:cs="宋体"/>
                <w:color w:val="auto"/>
                <w:kern w:val="0"/>
                <w:szCs w:val="21"/>
              </w:rPr>
              <w:t>TB 备份容量许可；开通所有数据备份许可，不限应用端数量；配置系统备份、文件备份、数据库备份功能；</w:t>
            </w:r>
          </w:p>
        </w:tc>
      </w:tr>
      <w:tr>
        <w:tblPrEx>
          <w:tblCellMar>
            <w:top w:w="0" w:type="dxa"/>
            <w:left w:w="108" w:type="dxa"/>
            <w:bottom w:w="0" w:type="dxa"/>
            <w:right w:w="108" w:type="dxa"/>
          </w:tblCellMar>
        </w:tblPrEx>
        <w:trPr>
          <w:trHeight w:val="576" w:hRule="atLeast"/>
        </w:trPr>
        <w:tc>
          <w:tcPr>
            <w:tcW w:w="248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售后服务</w:t>
            </w:r>
          </w:p>
        </w:tc>
        <w:tc>
          <w:tcPr>
            <w:tcW w:w="6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rPr>
            </w:pPr>
            <w:r>
              <w:rPr>
                <w:rFonts w:hint="eastAsia" w:ascii="宋体" w:hAnsi="宋体" w:cs="宋体"/>
                <w:color w:val="auto"/>
                <w:kern w:val="0"/>
                <w:szCs w:val="21"/>
              </w:rPr>
              <w:t>原厂三年技术支持服务。</w:t>
            </w:r>
          </w:p>
        </w:tc>
      </w:tr>
    </w:tbl>
    <w:p>
      <w:pPr>
        <w:pStyle w:val="6"/>
        <w:jc w:val="left"/>
        <w:rPr>
          <w:rFonts w:ascii="宋体" w:hAnsi="宋体"/>
          <w:color w:val="auto"/>
        </w:rPr>
      </w:pPr>
    </w:p>
    <w:p>
      <w:pPr>
        <w:rPr>
          <w:color w:val="auto"/>
        </w:rPr>
      </w:pPr>
    </w:p>
    <w:p>
      <w:pPr>
        <w:pStyle w:val="6"/>
        <w:jc w:val="left"/>
        <w:rPr>
          <w:rFonts w:ascii="宋体" w:hAnsi="宋体"/>
          <w:color w:val="auto"/>
        </w:rPr>
      </w:pPr>
      <w:r>
        <w:rPr>
          <w:rFonts w:hint="eastAsia" w:ascii="宋体" w:hAnsi="宋体"/>
          <w:color w:val="auto"/>
        </w:rPr>
        <w:t>机房专用空调（</w:t>
      </w:r>
      <w:r>
        <w:rPr>
          <w:rFonts w:ascii="宋体" w:hAnsi="宋体"/>
          <w:color w:val="auto"/>
        </w:rPr>
        <w:t>1</w:t>
      </w:r>
      <w:r>
        <w:rPr>
          <w:rFonts w:hint="eastAsia" w:ascii="宋体" w:hAnsi="宋体"/>
          <w:color w:val="auto"/>
        </w:rPr>
        <w:t>套）</w:t>
      </w:r>
    </w:p>
    <w:tbl>
      <w:tblPr>
        <w:tblStyle w:val="7"/>
        <w:tblW w:w="9102" w:type="dxa"/>
        <w:jc w:val="center"/>
        <w:tblLayout w:type="fixed"/>
        <w:tblCellMar>
          <w:top w:w="0" w:type="dxa"/>
          <w:left w:w="108" w:type="dxa"/>
          <w:bottom w:w="0" w:type="dxa"/>
          <w:right w:w="108" w:type="dxa"/>
        </w:tblCellMar>
      </w:tblPr>
      <w:tblGrid>
        <w:gridCol w:w="2487"/>
        <w:gridCol w:w="6615"/>
      </w:tblGrid>
      <w:tr>
        <w:tblPrEx>
          <w:tblCellMar>
            <w:top w:w="0" w:type="dxa"/>
            <w:left w:w="108" w:type="dxa"/>
            <w:bottom w:w="0" w:type="dxa"/>
            <w:right w:w="108" w:type="dxa"/>
          </w:tblCellMar>
        </w:tblPrEx>
        <w:trPr>
          <w:trHeight w:val="276" w:hRule="atLeast"/>
          <w:jc w:val="center"/>
        </w:trPr>
        <w:tc>
          <w:tcPr>
            <w:tcW w:w="2487" w:type="dxa"/>
            <w:tcBorders>
              <w:top w:val="single" w:color="auto" w:sz="4" w:space="0"/>
              <w:left w:val="single" w:color="auto" w:sz="4" w:space="0"/>
              <w:bottom w:val="single" w:color="auto" w:sz="4" w:space="0"/>
              <w:right w:val="single" w:color="auto" w:sz="4" w:space="0"/>
            </w:tcBorders>
            <w:shd w:val="clear" w:color="auto" w:fill="A4A4A4"/>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Cs w:val="21"/>
              </w:rPr>
              <w:t>技术指标</w:t>
            </w:r>
          </w:p>
        </w:tc>
        <w:tc>
          <w:tcPr>
            <w:tcW w:w="6615" w:type="dxa"/>
            <w:tcBorders>
              <w:top w:val="single" w:color="auto" w:sz="4" w:space="0"/>
              <w:left w:val="nil"/>
              <w:bottom w:val="single" w:color="auto" w:sz="4" w:space="0"/>
              <w:right w:val="single" w:color="auto" w:sz="4" w:space="0"/>
            </w:tcBorders>
            <w:shd w:val="clear" w:color="auto" w:fill="A4A4A4"/>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Cs w:val="21"/>
              </w:rPr>
              <w:t>参数要求</w:t>
            </w:r>
          </w:p>
        </w:tc>
      </w:tr>
      <w:tr>
        <w:tblPrEx>
          <w:tblCellMar>
            <w:top w:w="0" w:type="dxa"/>
            <w:left w:w="108" w:type="dxa"/>
            <w:bottom w:w="0" w:type="dxa"/>
            <w:right w:w="108" w:type="dxa"/>
          </w:tblCellMar>
        </w:tblPrEx>
        <w:trPr>
          <w:trHeight w:val="288" w:hRule="atLeast"/>
          <w:jc w:val="center"/>
        </w:trPr>
        <w:tc>
          <w:tcPr>
            <w:tcW w:w="24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性能要求</w:t>
            </w:r>
          </w:p>
        </w:tc>
        <w:tc>
          <w:tcPr>
            <w:tcW w:w="661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 总冷量≥7.5kw,送风方式：上送风；</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2.风量≥2000（m3/h）；</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3.加湿量≥1.5（kg/h）；</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4.加热量≥4（kw）；</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5.精密空调满足与旧款艾默生精密空调组成“1+1”冗余系统，精密空调采用1台RDU监控主机做监控；</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6.材质要求：空调设备外壳应采用全金属防腐材质，室内风机应采用全金属防腐材质；</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7.机房专用空调应能按要求自动调节室内温度，具有制冷、加热、除湿等功能；</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8.机房专用空调系统应具有高可靠性，应选用高可靠性的谷轮（Copeland）品牌涡旋压缩机、高可靠性机械热力膨胀阀、全金属室内风机等高可靠性部件，满足全年365天，每天24小时不间断运行；</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9.每台机房专用空调应具备一个主回风口和两个侧面辅助回风口，有利于提高机组性能。空调应具备来电自启动功能，满足机房无人值守的要求。</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10. 应采用远红外加湿器，加湿器可以重复利用及长期使用；</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11.机房专用空调应具备高全年能效比，在室内回风条件24℃，50%湿度条件下全年能效比&gt;3.75；</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12.应具有先进的微处理控制器，可存储200条历史告警信息；</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13.机房专用空调机组的风冷型室外冷凝器应采用无级全调速装置，保证系统冷凝压力的稳定并降低噪声；</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14.机房专用空调机组的风冷冷凝器的电控部分应有良好的防水性能</w:t>
            </w:r>
          </w:p>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15.室内空调机组需要全正面维护，可以靠墙安装。</w:t>
            </w:r>
          </w:p>
        </w:tc>
      </w:tr>
      <w:tr>
        <w:tblPrEx>
          <w:tblCellMar>
            <w:top w:w="0" w:type="dxa"/>
            <w:left w:w="108" w:type="dxa"/>
            <w:bottom w:w="0" w:type="dxa"/>
            <w:right w:w="108" w:type="dxa"/>
          </w:tblCellMar>
        </w:tblPrEx>
        <w:trPr>
          <w:trHeight w:val="576" w:hRule="atLeast"/>
          <w:jc w:val="center"/>
        </w:trPr>
        <w:tc>
          <w:tcPr>
            <w:tcW w:w="248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auto"/>
                <w:kern w:val="0"/>
                <w:szCs w:val="21"/>
              </w:rPr>
            </w:pPr>
            <w:r>
              <w:rPr>
                <w:rFonts w:hint="eastAsia" w:ascii="宋体" w:hAnsi="宋体"/>
                <w:color w:val="auto"/>
                <w:szCs w:val="21"/>
              </w:rPr>
              <w:t>产品证书要求</w:t>
            </w:r>
          </w:p>
        </w:tc>
        <w:tc>
          <w:tcPr>
            <w:tcW w:w="6615"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jc w:val="left"/>
              <w:rPr>
                <w:rFonts w:ascii="宋体" w:hAnsi="宋体"/>
                <w:color w:val="auto"/>
                <w:szCs w:val="21"/>
              </w:rPr>
            </w:pPr>
            <w:r>
              <w:rPr>
                <w:rFonts w:hint="eastAsia" w:ascii="宋体" w:hAnsi="宋体"/>
                <w:color w:val="auto"/>
                <w:szCs w:val="21"/>
              </w:rPr>
              <w:t>节能测试报告及认证证书</w:t>
            </w:r>
          </w:p>
          <w:p>
            <w:pPr>
              <w:numPr>
                <w:ilvl w:val="0"/>
                <w:numId w:val="2"/>
              </w:numPr>
              <w:spacing w:line="360" w:lineRule="auto"/>
              <w:jc w:val="left"/>
              <w:rPr>
                <w:rFonts w:ascii="宋体" w:hAnsi="宋体"/>
                <w:color w:val="auto"/>
                <w:szCs w:val="21"/>
              </w:rPr>
            </w:pPr>
            <w:r>
              <w:rPr>
                <w:rFonts w:hint="eastAsia" w:ascii="宋体" w:hAnsi="宋体"/>
                <w:color w:val="auto"/>
                <w:szCs w:val="21"/>
              </w:rPr>
              <w:t>3C认证报告</w:t>
            </w:r>
          </w:p>
          <w:p>
            <w:pPr>
              <w:numPr>
                <w:ilvl w:val="0"/>
                <w:numId w:val="2"/>
              </w:numPr>
              <w:spacing w:line="360" w:lineRule="auto"/>
              <w:jc w:val="left"/>
              <w:rPr>
                <w:rFonts w:ascii="宋体" w:hAnsi="宋体"/>
                <w:color w:val="auto"/>
                <w:szCs w:val="21"/>
              </w:rPr>
            </w:pPr>
            <w:r>
              <w:rPr>
                <w:rFonts w:hint="eastAsia" w:ascii="宋体" w:hAnsi="宋体"/>
                <w:color w:val="auto"/>
                <w:szCs w:val="21"/>
              </w:rPr>
              <w:t>抗震测试报告</w:t>
            </w:r>
          </w:p>
          <w:p>
            <w:pPr>
              <w:numPr>
                <w:ilvl w:val="0"/>
                <w:numId w:val="2"/>
              </w:numPr>
              <w:spacing w:line="360" w:lineRule="auto"/>
              <w:jc w:val="left"/>
              <w:rPr>
                <w:rFonts w:ascii="宋体" w:hAnsi="宋体" w:cs="宋体"/>
                <w:color w:val="auto"/>
                <w:kern w:val="0"/>
                <w:szCs w:val="21"/>
              </w:rPr>
            </w:pPr>
            <w:r>
              <w:rPr>
                <w:rFonts w:hint="eastAsia" w:ascii="宋体" w:hAnsi="宋体"/>
                <w:color w:val="auto"/>
                <w:szCs w:val="21"/>
                <w:lang w:val="zh-CN"/>
              </w:rPr>
              <w:t>CRAA认证证书。</w:t>
            </w:r>
          </w:p>
        </w:tc>
      </w:tr>
      <w:tr>
        <w:tblPrEx>
          <w:tblCellMar>
            <w:top w:w="0" w:type="dxa"/>
            <w:left w:w="108" w:type="dxa"/>
            <w:bottom w:w="0" w:type="dxa"/>
            <w:right w:w="108" w:type="dxa"/>
          </w:tblCellMar>
        </w:tblPrEx>
        <w:trPr>
          <w:trHeight w:val="576" w:hRule="atLeast"/>
          <w:jc w:val="center"/>
        </w:trPr>
        <w:tc>
          <w:tcPr>
            <w:tcW w:w="2487" w:type="dxa"/>
            <w:vMerge w:val="restart"/>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厂家资质</w:t>
            </w:r>
          </w:p>
        </w:tc>
        <w:tc>
          <w:tcPr>
            <w:tcW w:w="6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rPr>
            </w:pPr>
            <w:r>
              <w:rPr>
                <w:rFonts w:hint="eastAsia" w:ascii="宋体" w:hAnsi="宋体"/>
                <w:color w:val="auto"/>
                <w:szCs w:val="21"/>
              </w:rPr>
              <w:t>本次</w:t>
            </w:r>
            <w:r>
              <w:rPr>
                <w:rFonts w:hint="eastAsia" w:ascii="宋体" w:hAnsi="宋体"/>
                <w:color w:val="auto"/>
                <w:szCs w:val="21"/>
                <w:lang w:eastAsia="zh-CN"/>
              </w:rPr>
              <w:t>采购</w:t>
            </w:r>
            <w:r>
              <w:rPr>
                <w:rFonts w:hint="eastAsia" w:ascii="宋体" w:hAnsi="宋体"/>
                <w:color w:val="auto"/>
                <w:szCs w:val="21"/>
              </w:rPr>
              <w:t>精密空调不接受OEM或ODM产品，必须要由厂家自行研发、设计并生产，请提供原产地证明文件</w:t>
            </w:r>
          </w:p>
        </w:tc>
      </w:tr>
      <w:tr>
        <w:tblPrEx>
          <w:tblCellMar>
            <w:top w:w="0" w:type="dxa"/>
            <w:left w:w="108" w:type="dxa"/>
            <w:bottom w:w="0" w:type="dxa"/>
            <w:right w:w="108" w:type="dxa"/>
          </w:tblCellMar>
        </w:tblPrEx>
        <w:trPr>
          <w:trHeight w:val="576" w:hRule="atLeast"/>
          <w:jc w:val="center"/>
        </w:trPr>
        <w:tc>
          <w:tcPr>
            <w:tcW w:w="2487" w:type="dxa"/>
            <w:vMerge w:val="continue"/>
            <w:tcBorders>
              <w:left w:val="single" w:color="auto" w:sz="4" w:space="0"/>
              <w:right w:val="single" w:color="auto" w:sz="4" w:space="0"/>
            </w:tcBorders>
            <w:noWrap/>
            <w:vAlign w:val="center"/>
          </w:tcPr>
          <w:p>
            <w:pPr>
              <w:widowControl/>
              <w:spacing w:line="360" w:lineRule="auto"/>
              <w:jc w:val="center"/>
              <w:rPr>
                <w:rFonts w:ascii="宋体" w:hAnsi="宋体" w:cs="宋体"/>
                <w:color w:val="auto"/>
                <w:kern w:val="0"/>
                <w:szCs w:val="21"/>
              </w:rPr>
            </w:pPr>
          </w:p>
        </w:tc>
        <w:tc>
          <w:tcPr>
            <w:tcW w:w="6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rPr>
            </w:pPr>
            <w:r>
              <w:rPr>
                <w:rFonts w:hint="eastAsia" w:ascii="宋体" w:hAnsi="宋体"/>
                <w:color w:val="auto"/>
                <w:szCs w:val="21"/>
              </w:rPr>
              <w:t>投标产品厂家具</w:t>
            </w:r>
            <w:r>
              <w:rPr>
                <w:rFonts w:ascii="Segoe UI" w:hAnsi="Segoe UI" w:cs="Segoe UI"/>
                <w:color w:val="auto"/>
                <w:sz w:val="23"/>
                <w:szCs w:val="23"/>
              </w:rPr>
              <w:t>IPMS 知识产权管理体系认证证书</w:t>
            </w:r>
          </w:p>
        </w:tc>
      </w:tr>
      <w:tr>
        <w:tblPrEx>
          <w:tblCellMar>
            <w:top w:w="0" w:type="dxa"/>
            <w:left w:w="108" w:type="dxa"/>
            <w:bottom w:w="0" w:type="dxa"/>
            <w:right w:w="108" w:type="dxa"/>
          </w:tblCellMar>
        </w:tblPrEx>
        <w:trPr>
          <w:trHeight w:val="576" w:hRule="atLeast"/>
          <w:jc w:val="center"/>
        </w:trPr>
        <w:tc>
          <w:tcPr>
            <w:tcW w:w="2487" w:type="dxa"/>
            <w:vMerge w:val="continue"/>
            <w:tcBorders>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auto"/>
                <w:kern w:val="0"/>
                <w:szCs w:val="21"/>
              </w:rPr>
            </w:pPr>
          </w:p>
        </w:tc>
        <w:tc>
          <w:tcPr>
            <w:tcW w:w="6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kern w:val="0"/>
                <w:szCs w:val="21"/>
              </w:rPr>
            </w:pPr>
            <w:r>
              <w:rPr>
                <w:rFonts w:hint="eastAsia" w:ascii="宋体" w:hAnsi="宋体" w:cs="宋体"/>
                <w:color w:val="auto"/>
                <w:kern w:val="0"/>
                <w:szCs w:val="21"/>
              </w:rPr>
              <w:t>CMMI 集成研发成熟度等级证书（L5)</w:t>
            </w:r>
          </w:p>
        </w:tc>
      </w:tr>
      <w:tr>
        <w:tblPrEx>
          <w:tblCellMar>
            <w:top w:w="0" w:type="dxa"/>
            <w:left w:w="108" w:type="dxa"/>
            <w:bottom w:w="0" w:type="dxa"/>
            <w:right w:w="108" w:type="dxa"/>
          </w:tblCellMar>
        </w:tblPrEx>
        <w:trPr>
          <w:trHeight w:val="960" w:hRule="atLeast"/>
          <w:jc w:val="center"/>
        </w:trPr>
        <w:tc>
          <w:tcPr>
            <w:tcW w:w="248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售后服务</w:t>
            </w:r>
          </w:p>
        </w:tc>
        <w:tc>
          <w:tcPr>
            <w:tcW w:w="6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原厂三年保修服务。</w:t>
            </w:r>
          </w:p>
        </w:tc>
      </w:tr>
    </w:tbl>
    <w:p>
      <w:pPr>
        <w:rPr>
          <w:color w:val="auto"/>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BC290"/>
    <w:multiLevelType w:val="singleLevel"/>
    <w:tmpl w:val="D79BC290"/>
    <w:lvl w:ilvl="0" w:tentative="0">
      <w:start w:val="1"/>
      <w:numFmt w:val="decimal"/>
      <w:lvlText w:val="%1."/>
      <w:lvlJc w:val="left"/>
      <w:pPr>
        <w:tabs>
          <w:tab w:val="left" w:pos="312"/>
        </w:tabs>
      </w:pPr>
    </w:lvl>
  </w:abstractNum>
  <w:abstractNum w:abstractNumId="1">
    <w:nsid w:val="373E0ECE"/>
    <w:multiLevelType w:val="multilevel"/>
    <w:tmpl w:val="373E0E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00"/>
    <w:rsid w:val="000206BF"/>
    <w:rsid w:val="000570EE"/>
    <w:rsid w:val="00062368"/>
    <w:rsid w:val="001710D9"/>
    <w:rsid w:val="002525EB"/>
    <w:rsid w:val="00255A8F"/>
    <w:rsid w:val="00262518"/>
    <w:rsid w:val="002820EA"/>
    <w:rsid w:val="002857F5"/>
    <w:rsid w:val="003A64E4"/>
    <w:rsid w:val="003B1735"/>
    <w:rsid w:val="004C0C63"/>
    <w:rsid w:val="005109BA"/>
    <w:rsid w:val="00536853"/>
    <w:rsid w:val="00576C8A"/>
    <w:rsid w:val="005F0BDA"/>
    <w:rsid w:val="006A061C"/>
    <w:rsid w:val="006A790A"/>
    <w:rsid w:val="0074111D"/>
    <w:rsid w:val="007D5AEC"/>
    <w:rsid w:val="008127E4"/>
    <w:rsid w:val="00823E84"/>
    <w:rsid w:val="008A1F00"/>
    <w:rsid w:val="009321AF"/>
    <w:rsid w:val="00961006"/>
    <w:rsid w:val="009756E9"/>
    <w:rsid w:val="009831FE"/>
    <w:rsid w:val="009C6B82"/>
    <w:rsid w:val="009D3A64"/>
    <w:rsid w:val="009D6EFF"/>
    <w:rsid w:val="009F56D5"/>
    <w:rsid w:val="00AB0AE8"/>
    <w:rsid w:val="00B06ECA"/>
    <w:rsid w:val="00B43B31"/>
    <w:rsid w:val="00B440AE"/>
    <w:rsid w:val="00C35681"/>
    <w:rsid w:val="00C43450"/>
    <w:rsid w:val="00C841BA"/>
    <w:rsid w:val="00C857EA"/>
    <w:rsid w:val="00D33B30"/>
    <w:rsid w:val="00D5228E"/>
    <w:rsid w:val="00DC4387"/>
    <w:rsid w:val="00DD0E27"/>
    <w:rsid w:val="00E37202"/>
    <w:rsid w:val="00EA096A"/>
    <w:rsid w:val="00F039FA"/>
    <w:rsid w:val="00FC6110"/>
    <w:rsid w:val="11367A52"/>
    <w:rsid w:val="1D7D70F0"/>
    <w:rsid w:val="3DFA5BC0"/>
    <w:rsid w:val="3FFEF021"/>
    <w:rsid w:val="5FFF5663"/>
    <w:rsid w:val="64FFDA09"/>
    <w:rsid w:val="6FFE0C29"/>
    <w:rsid w:val="73BF9C59"/>
    <w:rsid w:val="777F06CB"/>
    <w:rsid w:val="BEFCB44F"/>
    <w:rsid w:val="BFDBC5C7"/>
    <w:rsid w:val="E6F8138D"/>
    <w:rsid w:val="F77EF6A2"/>
    <w:rsid w:val="FBFBFD37"/>
    <w:rsid w:val="FEFD6332"/>
    <w:rsid w:val="FFBF0528"/>
    <w:rsid w:val="FFD18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11"/>
    <w:pPr>
      <w:spacing w:before="240" w:after="60" w:line="312" w:lineRule="auto"/>
      <w:jc w:val="center"/>
      <w:outlineLvl w:val="1"/>
    </w:pPr>
    <w:rPr>
      <w:rFonts w:ascii="Times New Roman" w:hAnsi="Times New Roman" w:eastAsia="宋体" w:cs="Times New Roman"/>
      <w:b/>
      <w:bCs/>
      <w:kern w:val="28"/>
      <w:sz w:val="32"/>
      <w:szCs w:val="32"/>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2 字符"/>
    <w:basedOn w:val="9"/>
    <w:link w:val="2"/>
    <w:qFormat/>
    <w:uiPriority w:val="0"/>
    <w:rPr>
      <w:rFonts w:asciiTheme="majorHAnsi" w:hAnsiTheme="majorHAnsi" w:eastAsiaTheme="majorEastAsia" w:cstheme="majorBidi"/>
      <w:b/>
      <w:bCs/>
      <w:kern w:val="2"/>
      <w:sz w:val="32"/>
      <w:szCs w:val="32"/>
    </w:rPr>
  </w:style>
  <w:style w:type="character" w:customStyle="1" w:styleId="15">
    <w:name w:val="副标题 字符"/>
    <w:basedOn w:val="9"/>
    <w:link w:val="6"/>
    <w:qFormat/>
    <w:uiPriority w:val="11"/>
    <w:rPr>
      <w:rFonts w:ascii="Times New Roman" w:hAnsi="Times New Roman" w:eastAsia="宋体" w:cs="Times New Roman"/>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937</Words>
  <Characters>5346</Characters>
  <Lines>44</Lines>
  <Paragraphs>12</Paragraphs>
  <TotalTime>23</TotalTime>
  <ScaleCrop>false</ScaleCrop>
  <LinksUpToDate>false</LinksUpToDate>
  <CharactersWithSpaces>6271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2022-03-02T23:08:00Z</dcterms:created>
  <dc:creator>PC</dc:creator>
  <cp:lastModifiedBy>greatwall</cp:lastModifiedBy>
  <cp:lastPrinted>2019-06-21T15:13:00Z</cp:lastPrinted>
  <dcterms:modified xsi:type="dcterms:W3CDTF">2022-03-16T15:21:47Z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56246B74454841639CE48A7E6DF56B80</vt:lpwstr>
  </property>
</Properties>
</file>