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hint="eastAsia" w:ascii="Times New Roman" w:hAnsi="Times New Roman" w:eastAsia="仿宋_GB2312"/>
          <w:color w:val="000000"/>
          <w:spacing w:val="-26"/>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疫苗安全事件分级标准和响应级别</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2.</w:t>
      </w:r>
      <w:r>
        <w:rPr>
          <w:rFonts w:hint="eastAsia" w:ascii="Times New Roman" w:hAnsi="Times New Roman" w:eastAsia="仿宋_GB2312"/>
          <w:color w:val="000000"/>
          <w:sz w:val="32"/>
          <w:szCs w:val="32"/>
        </w:rPr>
        <w:t>疫苗安全重大信息报告表（初报）</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3.</w:t>
      </w:r>
      <w:r>
        <w:rPr>
          <w:rFonts w:hint="eastAsia" w:ascii="Times New Roman" w:hAnsi="Times New Roman" w:eastAsia="仿宋_GB2312"/>
          <w:color w:val="000000"/>
          <w:sz w:val="32"/>
          <w:szCs w:val="32"/>
        </w:rPr>
        <w:t>疫苗安全重大信息报告表（续报）</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4.</w:t>
      </w:r>
      <w:r>
        <w:rPr>
          <w:rFonts w:hint="eastAsia" w:ascii="Times New Roman" w:hAnsi="Times New Roman" w:eastAsia="仿宋_GB2312"/>
          <w:color w:val="000000"/>
          <w:sz w:val="32"/>
          <w:szCs w:val="32"/>
        </w:rPr>
        <w:t>疫苗安全突发事件信息报告</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5.</w:t>
      </w:r>
      <w:r>
        <w:rPr>
          <w:rFonts w:hint="eastAsia" w:ascii="Times New Roman" w:hAnsi="Times New Roman" w:eastAsia="仿宋_GB2312"/>
          <w:color w:val="000000"/>
          <w:sz w:val="32"/>
          <w:szCs w:val="32"/>
        </w:rPr>
        <w:t>一般疫苗安全事件应急处置流程</w:t>
      </w: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580" w:lineRule="exact"/>
        <w:ind w:firstLine="880" w:firstLineChars="200"/>
        <w:rPr>
          <w:rFonts w:hint="eastAsia" w:ascii="黑体" w:hAnsi="黑体" w:eastAsia="黑体" w:cs="黑体"/>
          <w:bCs/>
          <w:color w:val="000000"/>
          <w:sz w:val="44"/>
          <w:szCs w:val="44"/>
        </w:rPr>
      </w:pPr>
    </w:p>
    <w:p>
      <w:pPr>
        <w:spacing w:line="600" w:lineRule="exact"/>
        <w:rPr>
          <w:rFonts w:ascii="黑体" w:hAnsi="黑体" w:eastAsia="黑体" w:cs="黑体"/>
          <w:bCs/>
          <w:color w:val="000000"/>
          <w:sz w:val="44"/>
          <w:szCs w:val="44"/>
        </w:rPr>
        <w:sectPr>
          <w:footerReference r:id="rId5" w:type="first"/>
          <w:footerReference r:id="rId3" w:type="default"/>
          <w:footerReference r:id="rId4" w:type="even"/>
          <w:pgSz w:w="11906" w:h="16838"/>
          <w:pgMar w:top="2098" w:right="1474" w:bottom="1418" w:left="1588" w:header="851" w:footer="1361" w:gutter="0"/>
          <w:pgNumType w:start="1"/>
          <w:cols w:space="720" w:num="1"/>
          <w:titlePg/>
          <w:docGrid w:type="linesAndChars" w:linePitch="315" w:charSpace="0"/>
        </w:sectPr>
      </w:pPr>
    </w:p>
    <w:p>
      <w:pPr>
        <w:spacing w:line="60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w:t>
      </w:r>
    </w:p>
    <w:p>
      <w:pPr>
        <w:spacing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疫苗安全事件分级标准和响应级别</w:t>
      </w:r>
    </w:p>
    <w:p>
      <w:pPr>
        <w:spacing w:line="600" w:lineRule="exact"/>
        <w:jc w:val="center"/>
        <w:rPr>
          <w:rFonts w:ascii="楷体_GB2312" w:hAnsi="Times New Roman" w:eastAsia="楷体_GB2312" w:cs="楷体_GB2312"/>
          <w:bCs/>
          <w:color w:val="000000"/>
          <w:w w:val="90"/>
          <w:sz w:val="32"/>
          <w:szCs w:val="32"/>
        </w:rPr>
      </w:pPr>
      <w:r>
        <w:rPr>
          <w:rFonts w:hint="eastAsia" w:ascii="楷体_GB2312" w:hAnsi="Times New Roman" w:eastAsia="楷体_GB2312" w:cs="楷体_GB2312"/>
          <w:bCs/>
          <w:color w:val="000000"/>
          <w:w w:val="90"/>
          <w:sz w:val="32"/>
          <w:szCs w:val="32"/>
        </w:rPr>
        <w:t>（参照《国家药品监督管理局疫苗质量安全事件应急预案（试行）》）</w:t>
      </w:r>
    </w:p>
    <w:p>
      <w:pPr>
        <w:spacing w:line="100" w:lineRule="exact"/>
        <w:ind w:firstLine="640" w:firstLineChars="200"/>
        <w:rPr>
          <w:rFonts w:ascii="Times New Roman" w:hAnsi="Times New Roman" w:eastAsia="仿宋_GB2312"/>
          <w:color w:val="000000"/>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8"/>
        <w:gridCol w:w="7104"/>
        <w:gridCol w:w="7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tblHeader/>
          <w:jc w:val="center"/>
        </w:trPr>
        <w:tc>
          <w:tcPr>
            <w:tcW w:w="1308"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黑体" w:hAnsi="黑体" w:eastAsia="黑体" w:cs="黑体"/>
                <w:color w:val="000000"/>
                <w:szCs w:val="21"/>
              </w:rPr>
            </w:pPr>
            <w:r>
              <w:rPr>
                <w:rFonts w:hint="eastAsia" w:ascii="黑体" w:hAnsi="黑体" w:eastAsia="黑体" w:cs="黑体"/>
                <w:color w:val="000000"/>
                <w:szCs w:val="21"/>
              </w:rPr>
              <w:t>事件类别</w:t>
            </w:r>
          </w:p>
        </w:tc>
        <w:tc>
          <w:tcPr>
            <w:tcW w:w="7104"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黑体" w:hAnsi="黑体" w:eastAsia="黑体" w:cs="黑体"/>
                <w:color w:val="000000"/>
                <w:szCs w:val="21"/>
              </w:rPr>
            </w:pPr>
            <w:r>
              <w:rPr>
                <w:rFonts w:hint="eastAsia" w:ascii="黑体" w:hAnsi="黑体" w:eastAsia="黑体" w:cs="黑体"/>
                <w:color w:val="000000"/>
                <w:szCs w:val="21"/>
              </w:rPr>
              <w:t>分级标准</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黑体" w:hAnsi="黑体" w:eastAsia="黑体" w:cs="黑体"/>
                <w:color w:val="000000"/>
                <w:szCs w:val="21"/>
              </w:rPr>
            </w:pPr>
            <w:r>
              <w:rPr>
                <w:rFonts w:hint="eastAsia" w:ascii="黑体" w:hAnsi="黑体" w:eastAsia="黑体" w:cs="黑体"/>
                <w:color w:val="000000"/>
                <w:szCs w:val="21"/>
              </w:rPr>
              <w:t>响应级别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0" w:hRule="atLeast"/>
          <w:jc w:val="center"/>
        </w:trPr>
        <w:tc>
          <w:tcPr>
            <w:tcW w:w="1308"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eastAsia="仿宋_GB2312"/>
                <w:color w:val="000000"/>
                <w:szCs w:val="21"/>
              </w:rPr>
            </w:pPr>
            <w:r>
              <w:rPr>
                <w:rFonts w:hint="eastAsia" w:eastAsia="仿宋_GB2312"/>
                <w:color w:val="000000"/>
                <w:szCs w:val="21"/>
              </w:rPr>
              <w:t>特别重大疫苗质量安全事件</w:t>
            </w:r>
          </w:p>
        </w:tc>
        <w:tc>
          <w:tcPr>
            <w:tcW w:w="7104"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eastAsia="仿宋_GB2312"/>
                <w:color w:val="000000"/>
                <w:szCs w:val="21"/>
              </w:rPr>
            </w:pPr>
            <w:r>
              <w:rPr>
                <w:rFonts w:hint="eastAsia" w:eastAsia="仿宋_GB2312"/>
                <w:color w:val="000000"/>
                <w:szCs w:val="21"/>
              </w:rPr>
              <w:t>符合下列情形之一的：</w:t>
            </w:r>
          </w:p>
          <w:p>
            <w:pPr>
              <w:spacing w:line="340" w:lineRule="exact"/>
              <w:rPr>
                <w:rFonts w:eastAsia="仿宋_GB2312"/>
                <w:color w:val="000000"/>
                <w:szCs w:val="21"/>
              </w:rPr>
            </w:pPr>
            <w:r>
              <w:rPr>
                <w:rFonts w:eastAsia="仿宋_GB2312"/>
                <w:color w:val="000000"/>
                <w:szCs w:val="21"/>
              </w:rPr>
              <w:t>1.</w:t>
            </w:r>
            <w:r>
              <w:rPr>
                <w:rFonts w:hint="eastAsia" w:eastAsia="仿宋_GB2312"/>
                <w:color w:val="000000"/>
                <w:szCs w:val="21"/>
              </w:rPr>
              <w:t>同一批号疫苗短期内引起</w:t>
            </w:r>
            <w:r>
              <w:rPr>
                <w:rFonts w:eastAsia="仿宋_GB2312"/>
                <w:color w:val="000000"/>
                <w:szCs w:val="21"/>
              </w:rPr>
              <w:t>5</w:t>
            </w:r>
            <w:r>
              <w:rPr>
                <w:rFonts w:hint="eastAsia" w:eastAsia="仿宋_GB2312"/>
                <w:color w:val="000000"/>
                <w:szCs w:val="21"/>
              </w:rPr>
              <w:t>例以上患者死亡，疑似与质量相关的事件；</w:t>
            </w:r>
          </w:p>
          <w:p>
            <w:pPr>
              <w:spacing w:line="340" w:lineRule="exact"/>
              <w:rPr>
                <w:rFonts w:eastAsia="仿宋_GB2312"/>
                <w:color w:val="000000"/>
                <w:szCs w:val="21"/>
              </w:rPr>
            </w:pPr>
            <w:r>
              <w:rPr>
                <w:rFonts w:eastAsia="仿宋_GB2312"/>
                <w:color w:val="000000"/>
                <w:szCs w:val="21"/>
              </w:rPr>
              <w:t>2.</w:t>
            </w:r>
            <w:r>
              <w:rPr>
                <w:rFonts w:hint="eastAsia" w:eastAsia="仿宋_GB2312"/>
                <w:color w:val="000000"/>
                <w:szCs w:val="21"/>
              </w:rPr>
              <w:t>在相对集中的时间和区域内，批号相对集中的同一疫苗引起临床表现相似的，且罕见或非预期的不良事件的人数超过</w:t>
            </w:r>
            <w:r>
              <w:rPr>
                <w:rFonts w:eastAsia="仿宋_GB2312"/>
                <w:color w:val="000000"/>
                <w:szCs w:val="21"/>
              </w:rPr>
              <w:t>20</w:t>
            </w:r>
            <w:r>
              <w:rPr>
                <w:rFonts w:hint="eastAsia" w:eastAsia="仿宋_GB2312"/>
                <w:color w:val="000000"/>
                <w:szCs w:val="21"/>
              </w:rPr>
              <w:t>人；或者引起特别严重不良事件（可能对人体造成永久性伤残、对器官功能造成永久性损伤或危及生命）超过</w:t>
            </w:r>
            <w:r>
              <w:rPr>
                <w:rFonts w:eastAsia="仿宋_GB2312"/>
                <w:color w:val="000000"/>
                <w:szCs w:val="21"/>
              </w:rPr>
              <w:t>5</w:t>
            </w:r>
            <w:r>
              <w:rPr>
                <w:rFonts w:hint="eastAsia" w:eastAsia="仿宋_GB2312"/>
                <w:color w:val="000000"/>
                <w:szCs w:val="21"/>
              </w:rPr>
              <w:t>人，疑似与质量相关的事件；</w:t>
            </w:r>
          </w:p>
          <w:p>
            <w:pPr>
              <w:spacing w:line="340" w:lineRule="exact"/>
              <w:rPr>
                <w:rFonts w:eastAsia="仿宋_GB2312"/>
                <w:color w:val="000000"/>
                <w:szCs w:val="21"/>
              </w:rPr>
            </w:pPr>
            <w:r>
              <w:rPr>
                <w:rFonts w:eastAsia="仿宋_GB2312"/>
                <w:color w:val="000000"/>
                <w:szCs w:val="21"/>
              </w:rPr>
              <w:t>3.</w:t>
            </w:r>
            <w:r>
              <w:rPr>
                <w:rFonts w:hint="eastAsia" w:eastAsia="仿宋_GB2312"/>
                <w:color w:val="000000"/>
                <w:szCs w:val="21"/>
              </w:rPr>
              <w:t>其他危害特别严重且引发社会影响的疫苗质量安全突发事件。</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eastAsia="仿宋_GB2312"/>
                <w:color w:val="000000"/>
                <w:szCs w:val="21"/>
              </w:rPr>
            </w:pPr>
            <w:r>
              <w:rPr>
                <w:rFonts w:eastAsia="仿宋_GB2312"/>
                <w:color w:val="000000"/>
                <w:szCs w:val="21"/>
              </w:rPr>
              <w:t>I</w:t>
            </w:r>
            <w:r>
              <w:rPr>
                <w:rFonts w:hint="eastAsia" w:eastAsia="仿宋_GB2312"/>
                <w:color w:val="000000"/>
                <w:szCs w:val="21"/>
              </w:rPr>
              <w:t>级</w:t>
            </w:r>
          </w:p>
          <w:p>
            <w:pPr>
              <w:spacing w:line="340" w:lineRule="exact"/>
              <w:jc w:val="center"/>
              <w:rPr>
                <w:rFonts w:eastAsia="仿宋_GB2312"/>
                <w:color w:val="000000"/>
                <w:szCs w:val="21"/>
              </w:rPr>
            </w:pPr>
            <w:r>
              <w:rPr>
                <w:rFonts w:hint="eastAsia" w:eastAsia="仿宋_GB2312"/>
                <w:color w:val="000000"/>
                <w:szCs w:val="21"/>
              </w:rPr>
              <w:t>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0" w:hRule="atLeast"/>
          <w:jc w:val="center"/>
        </w:trPr>
        <w:tc>
          <w:tcPr>
            <w:tcW w:w="1308"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eastAsia="仿宋_GB2312"/>
                <w:color w:val="000000"/>
                <w:szCs w:val="21"/>
              </w:rPr>
            </w:pPr>
            <w:r>
              <w:rPr>
                <w:rFonts w:hint="eastAsia" w:eastAsia="仿宋_GB2312"/>
                <w:color w:val="000000"/>
                <w:szCs w:val="21"/>
              </w:rPr>
              <w:t>重大疫苗质量安全事件</w:t>
            </w:r>
          </w:p>
        </w:tc>
        <w:tc>
          <w:tcPr>
            <w:tcW w:w="7104"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eastAsia="仿宋_GB2312"/>
                <w:color w:val="000000"/>
                <w:szCs w:val="21"/>
              </w:rPr>
            </w:pPr>
            <w:r>
              <w:rPr>
                <w:rFonts w:hint="eastAsia" w:eastAsia="仿宋_GB2312"/>
                <w:color w:val="000000"/>
                <w:szCs w:val="21"/>
              </w:rPr>
              <w:t>符合下列情形之一的：</w:t>
            </w:r>
          </w:p>
          <w:p>
            <w:pPr>
              <w:spacing w:line="340" w:lineRule="exact"/>
              <w:rPr>
                <w:rFonts w:eastAsia="仿宋_GB2312"/>
                <w:color w:val="000000"/>
                <w:szCs w:val="21"/>
              </w:rPr>
            </w:pPr>
            <w:r>
              <w:rPr>
                <w:rFonts w:eastAsia="仿宋_GB2312"/>
                <w:color w:val="000000"/>
                <w:szCs w:val="21"/>
              </w:rPr>
              <w:t>1.</w:t>
            </w:r>
            <w:r>
              <w:rPr>
                <w:rFonts w:hint="eastAsia" w:eastAsia="仿宋_GB2312"/>
                <w:color w:val="000000"/>
                <w:szCs w:val="21"/>
              </w:rPr>
              <w:t>同一批号疫苗短期内引起</w:t>
            </w:r>
            <w:r>
              <w:rPr>
                <w:rFonts w:eastAsia="仿宋_GB2312"/>
                <w:color w:val="000000"/>
                <w:szCs w:val="21"/>
              </w:rPr>
              <w:t>2</w:t>
            </w:r>
            <w:r>
              <w:rPr>
                <w:rFonts w:hint="eastAsia" w:eastAsia="仿宋_GB2312"/>
                <w:color w:val="000000"/>
                <w:szCs w:val="21"/>
              </w:rPr>
              <w:t>例以上、</w:t>
            </w:r>
            <w:r>
              <w:rPr>
                <w:rFonts w:eastAsia="仿宋_GB2312"/>
                <w:color w:val="000000"/>
                <w:szCs w:val="21"/>
              </w:rPr>
              <w:t>5</w:t>
            </w:r>
            <w:r>
              <w:rPr>
                <w:rFonts w:hint="eastAsia" w:eastAsia="仿宋_GB2312"/>
                <w:color w:val="000000"/>
                <w:szCs w:val="21"/>
              </w:rPr>
              <w:t>例以下患者死亡，疑似与质量相关的事件；</w:t>
            </w:r>
          </w:p>
          <w:p>
            <w:pPr>
              <w:spacing w:line="340" w:lineRule="exact"/>
              <w:rPr>
                <w:rFonts w:eastAsia="仿宋_GB2312"/>
                <w:color w:val="000000"/>
                <w:szCs w:val="21"/>
              </w:rPr>
            </w:pPr>
            <w:r>
              <w:rPr>
                <w:rFonts w:eastAsia="仿宋_GB2312"/>
                <w:color w:val="000000"/>
                <w:szCs w:val="21"/>
              </w:rPr>
              <w:t>2.</w:t>
            </w:r>
            <w:r>
              <w:rPr>
                <w:rFonts w:hint="eastAsia" w:eastAsia="仿宋_GB2312"/>
                <w:color w:val="000000"/>
                <w:szCs w:val="21"/>
              </w:rPr>
              <w:t>在相对集中的时间和区域内，批号相对集中的同一疫苗引起临床表现相似的，且罕见或非预期的不良事件的人数超过</w:t>
            </w:r>
            <w:r>
              <w:rPr>
                <w:rFonts w:eastAsia="仿宋_GB2312"/>
                <w:color w:val="000000"/>
                <w:szCs w:val="21"/>
              </w:rPr>
              <w:t>10</w:t>
            </w:r>
            <w:r>
              <w:rPr>
                <w:rFonts w:hint="eastAsia" w:eastAsia="仿宋_GB2312"/>
                <w:color w:val="000000"/>
                <w:szCs w:val="21"/>
              </w:rPr>
              <w:t>人、不多于</w:t>
            </w:r>
            <w:r>
              <w:rPr>
                <w:rFonts w:eastAsia="仿宋_GB2312"/>
                <w:color w:val="000000"/>
                <w:szCs w:val="21"/>
              </w:rPr>
              <w:t>20</w:t>
            </w:r>
            <w:r>
              <w:rPr>
                <w:rFonts w:hint="eastAsia" w:eastAsia="仿宋_GB2312"/>
                <w:color w:val="000000"/>
                <w:szCs w:val="21"/>
              </w:rPr>
              <w:t>人；或者引起特别严重不良事件（可能对人体造成永久性伤残、对器官功能造成永久性损伤或危及生命）超过</w:t>
            </w:r>
            <w:r>
              <w:rPr>
                <w:rFonts w:eastAsia="仿宋_GB2312"/>
                <w:color w:val="000000"/>
                <w:szCs w:val="21"/>
              </w:rPr>
              <w:t>3</w:t>
            </w:r>
            <w:r>
              <w:rPr>
                <w:rFonts w:hint="eastAsia" w:eastAsia="仿宋_GB2312"/>
                <w:color w:val="000000"/>
                <w:szCs w:val="21"/>
              </w:rPr>
              <w:t>人、不多于</w:t>
            </w:r>
            <w:r>
              <w:rPr>
                <w:rFonts w:eastAsia="仿宋_GB2312"/>
                <w:color w:val="000000"/>
                <w:szCs w:val="21"/>
              </w:rPr>
              <w:t>5</w:t>
            </w:r>
            <w:r>
              <w:rPr>
                <w:rFonts w:hint="eastAsia" w:eastAsia="仿宋_GB2312"/>
                <w:color w:val="000000"/>
                <w:szCs w:val="21"/>
              </w:rPr>
              <w:t>人，疑似与质量相关的事件；</w:t>
            </w:r>
          </w:p>
          <w:p>
            <w:pPr>
              <w:spacing w:line="340" w:lineRule="exact"/>
              <w:rPr>
                <w:rFonts w:eastAsia="仿宋_GB2312"/>
                <w:color w:val="000000"/>
                <w:szCs w:val="21"/>
              </w:rPr>
            </w:pPr>
            <w:r>
              <w:rPr>
                <w:rFonts w:eastAsia="仿宋_GB2312"/>
                <w:color w:val="000000"/>
                <w:szCs w:val="21"/>
              </w:rPr>
              <w:t>3.</w:t>
            </w:r>
            <w:r>
              <w:rPr>
                <w:rFonts w:hint="eastAsia" w:eastAsia="仿宋_GB2312"/>
                <w:color w:val="000000"/>
                <w:szCs w:val="21"/>
              </w:rPr>
              <w:t>确认出现质量问题，涉及</w:t>
            </w:r>
            <w:r>
              <w:rPr>
                <w:rFonts w:eastAsia="仿宋_GB2312"/>
                <w:color w:val="000000"/>
                <w:szCs w:val="21"/>
              </w:rPr>
              <w:t>2</w:t>
            </w:r>
            <w:r>
              <w:rPr>
                <w:rFonts w:hint="eastAsia" w:eastAsia="仿宋_GB2312"/>
                <w:color w:val="000000"/>
                <w:szCs w:val="21"/>
              </w:rPr>
              <w:t>个以上省份的；</w:t>
            </w:r>
          </w:p>
          <w:p>
            <w:pPr>
              <w:spacing w:line="340" w:lineRule="exact"/>
              <w:rPr>
                <w:rFonts w:eastAsia="仿宋_GB2312"/>
                <w:color w:val="000000"/>
                <w:szCs w:val="21"/>
              </w:rPr>
            </w:pPr>
            <w:r>
              <w:rPr>
                <w:rFonts w:eastAsia="仿宋_GB2312"/>
                <w:color w:val="000000"/>
                <w:szCs w:val="21"/>
              </w:rPr>
              <w:t>4.</w:t>
            </w:r>
            <w:r>
              <w:rPr>
                <w:rFonts w:hint="eastAsia" w:eastAsia="仿宋_GB2312"/>
                <w:color w:val="000000"/>
                <w:szCs w:val="21"/>
              </w:rPr>
              <w:t>其他危害严重且引发社会影响的疫苗质量安全突发事件。</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eastAsia="仿宋_GB2312"/>
                <w:color w:val="000000"/>
                <w:szCs w:val="21"/>
              </w:rPr>
            </w:pPr>
            <w:r>
              <w:rPr>
                <w:rFonts w:eastAsia="仿宋_GB2312"/>
                <w:color w:val="000000"/>
                <w:szCs w:val="21"/>
              </w:rPr>
              <w:t>Ⅱ</w:t>
            </w:r>
            <w:r>
              <w:rPr>
                <w:rFonts w:hint="eastAsia" w:eastAsia="仿宋_GB2312"/>
                <w:color w:val="000000"/>
                <w:szCs w:val="21"/>
              </w:rPr>
              <w:t>级响应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5" w:hRule="atLeast"/>
          <w:jc w:val="center"/>
        </w:trPr>
        <w:tc>
          <w:tcPr>
            <w:tcW w:w="1308"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eastAsia="仿宋_GB2312"/>
                <w:color w:val="000000"/>
                <w:szCs w:val="21"/>
              </w:rPr>
            </w:pPr>
            <w:r>
              <w:rPr>
                <w:rFonts w:hint="eastAsia" w:eastAsia="仿宋_GB2312"/>
                <w:color w:val="000000"/>
                <w:szCs w:val="21"/>
              </w:rPr>
              <w:t>较大疫苗质量安全事件</w:t>
            </w:r>
          </w:p>
        </w:tc>
        <w:tc>
          <w:tcPr>
            <w:tcW w:w="7104"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eastAsia="仿宋_GB2312"/>
                <w:color w:val="000000"/>
                <w:szCs w:val="21"/>
              </w:rPr>
            </w:pPr>
            <w:r>
              <w:rPr>
                <w:rFonts w:hint="eastAsia" w:eastAsia="仿宋_GB2312"/>
                <w:color w:val="000000"/>
                <w:szCs w:val="21"/>
              </w:rPr>
              <w:t>符合下列情形之一的：</w:t>
            </w:r>
          </w:p>
          <w:p>
            <w:pPr>
              <w:spacing w:line="340" w:lineRule="exact"/>
              <w:rPr>
                <w:rFonts w:eastAsia="仿宋_GB2312"/>
                <w:color w:val="000000"/>
                <w:szCs w:val="21"/>
              </w:rPr>
            </w:pPr>
            <w:r>
              <w:rPr>
                <w:rFonts w:eastAsia="仿宋_GB2312"/>
                <w:color w:val="000000"/>
                <w:szCs w:val="21"/>
              </w:rPr>
              <w:t>1.</w:t>
            </w:r>
            <w:r>
              <w:rPr>
                <w:rFonts w:hint="eastAsia" w:eastAsia="仿宋_GB2312"/>
                <w:color w:val="000000"/>
                <w:szCs w:val="21"/>
              </w:rPr>
              <w:t>同一批号疫苗引起</w:t>
            </w:r>
            <w:r>
              <w:rPr>
                <w:rFonts w:eastAsia="仿宋_GB2312"/>
                <w:color w:val="000000"/>
                <w:szCs w:val="21"/>
              </w:rPr>
              <w:t>1</w:t>
            </w:r>
            <w:r>
              <w:rPr>
                <w:rFonts w:hint="eastAsia" w:eastAsia="仿宋_GB2312"/>
                <w:color w:val="000000"/>
                <w:szCs w:val="21"/>
              </w:rPr>
              <w:t>例患者死亡，疑似与质量相关的事件；</w:t>
            </w:r>
          </w:p>
          <w:p>
            <w:pPr>
              <w:spacing w:line="340" w:lineRule="exact"/>
              <w:rPr>
                <w:rFonts w:eastAsia="仿宋_GB2312"/>
                <w:color w:val="000000"/>
                <w:szCs w:val="21"/>
              </w:rPr>
            </w:pPr>
            <w:r>
              <w:rPr>
                <w:rFonts w:eastAsia="仿宋_GB2312"/>
                <w:color w:val="000000"/>
                <w:szCs w:val="21"/>
              </w:rPr>
              <w:t>2.</w:t>
            </w:r>
            <w:r>
              <w:rPr>
                <w:rFonts w:hint="eastAsia" w:eastAsia="仿宋_GB2312"/>
                <w:color w:val="000000"/>
                <w:szCs w:val="21"/>
              </w:rPr>
              <w:t>在相对集中的时间和区域内，批号相对集中的同一疫苗引起临床表现相似的，且罕见或非预期的不良事件的人数超过</w:t>
            </w:r>
            <w:r>
              <w:rPr>
                <w:rFonts w:eastAsia="仿宋_GB2312"/>
                <w:color w:val="000000"/>
                <w:szCs w:val="21"/>
              </w:rPr>
              <w:t>5</w:t>
            </w:r>
            <w:r>
              <w:rPr>
                <w:rFonts w:hint="eastAsia" w:eastAsia="仿宋_GB2312"/>
                <w:color w:val="000000"/>
                <w:szCs w:val="21"/>
              </w:rPr>
              <w:t>人、不多于</w:t>
            </w:r>
            <w:r>
              <w:rPr>
                <w:rFonts w:eastAsia="仿宋_GB2312"/>
                <w:color w:val="000000"/>
                <w:szCs w:val="21"/>
              </w:rPr>
              <w:t>10</w:t>
            </w:r>
            <w:r>
              <w:rPr>
                <w:rFonts w:hint="eastAsia" w:eastAsia="仿宋_GB2312"/>
                <w:color w:val="000000"/>
                <w:szCs w:val="21"/>
              </w:rPr>
              <w:t>人；或者引起特别严重不良事件（可能对人体造成永久性伤残、对器官功能造成永久性损伤或危及生命）超过</w:t>
            </w:r>
            <w:r>
              <w:rPr>
                <w:rFonts w:eastAsia="仿宋_GB2312"/>
                <w:color w:val="000000"/>
                <w:szCs w:val="21"/>
              </w:rPr>
              <w:t>2</w:t>
            </w:r>
            <w:r>
              <w:rPr>
                <w:rFonts w:hint="eastAsia" w:eastAsia="仿宋_GB2312"/>
                <w:color w:val="000000"/>
                <w:szCs w:val="21"/>
              </w:rPr>
              <w:t>人，疑似与质量相关的事件；</w:t>
            </w:r>
          </w:p>
          <w:p>
            <w:pPr>
              <w:spacing w:line="340" w:lineRule="exact"/>
              <w:rPr>
                <w:rFonts w:eastAsia="仿宋_GB2312"/>
                <w:color w:val="000000"/>
                <w:szCs w:val="21"/>
              </w:rPr>
            </w:pPr>
            <w:r>
              <w:rPr>
                <w:rFonts w:eastAsia="仿宋_GB2312"/>
                <w:color w:val="000000"/>
                <w:szCs w:val="21"/>
              </w:rPr>
              <w:t>3.</w:t>
            </w:r>
            <w:r>
              <w:rPr>
                <w:rFonts w:hint="eastAsia" w:eastAsia="仿宋_GB2312"/>
                <w:color w:val="000000"/>
                <w:szCs w:val="21"/>
              </w:rPr>
              <w:t>确认出现质量问题，涉及</w:t>
            </w:r>
            <w:r>
              <w:rPr>
                <w:rFonts w:eastAsia="仿宋_GB2312"/>
                <w:color w:val="000000"/>
                <w:szCs w:val="21"/>
              </w:rPr>
              <w:t>1</w:t>
            </w:r>
            <w:r>
              <w:rPr>
                <w:rFonts w:hint="eastAsia" w:eastAsia="仿宋_GB2312"/>
                <w:color w:val="000000"/>
                <w:szCs w:val="21"/>
              </w:rPr>
              <w:t>个省份的；</w:t>
            </w:r>
          </w:p>
          <w:p>
            <w:pPr>
              <w:spacing w:line="340" w:lineRule="exact"/>
              <w:rPr>
                <w:rFonts w:eastAsia="仿宋_GB2312"/>
                <w:color w:val="000000"/>
                <w:szCs w:val="21"/>
              </w:rPr>
            </w:pPr>
            <w:r>
              <w:rPr>
                <w:rFonts w:eastAsia="仿宋_GB2312"/>
                <w:color w:val="000000"/>
                <w:szCs w:val="21"/>
              </w:rPr>
              <w:t>4.</w:t>
            </w:r>
            <w:r>
              <w:rPr>
                <w:rFonts w:hint="eastAsia" w:eastAsia="仿宋_GB2312"/>
                <w:color w:val="000000"/>
                <w:szCs w:val="21"/>
              </w:rPr>
              <w:t>其他危害较大且引发社会影响局限于某一省份的疫苗质量安全突发事件。</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eastAsia="仿宋_GB2312"/>
                <w:color w:val="000000"/>
                <w:szCs w:val="21"/>
              </w:rPr>
            </w:pPr>
            <w:r>
              <w:rPr>
                <w:rFonts w:eastAsia="仿宋_GB2312"/>
                <w:color w:val="000000"/>
                <w:szCs w:val="21"/>
              </w:rPr>
              <w:t>Ⅲ</w:t>
            </w:r>
            <w:r>
              <w:rPr>
                <w:rFonts w:hint="eastAsia" w:eastAsia="仿宋_GB2312"/>
                <w:color w:val="000000"/>
                <w:szCs w:val="21"/>
              </w:rPr>
              <w:t>级响应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1308"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eastAsia="仿宋_GB2312"/>
                <w:color w:val="000000"/>
                <w:szCs w:val="21"/>
              </w:rPr>
            </w:pPr>
            <w:r>
              <w:rPr>
                <w:rFonts w:hint="eastAsia" w:eastAsia="仿宋_GB2312"/>
                <w:color w:val="000000"/>
                <w:szCs w:val="21"/>
              </w:rPr>
              <w:t>一般疫苗质量安全事件</w:t>
            </w:r>
          </w:p>
        </w:tc>
        <w:tc>
          <w:tcPr>
            <w:tcW w:w="7104"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eastAsia="仿宋_GB2312"/>
                <w:color w:val="000000"/>
                <w:szCs w:val="21"/>
              </w:rPr>
            </w:pPr>
            <w:r>
              <w:rPr>
                <w:rFonts w:hint="eastAsia" w:eastAsia="仿宋_GB2312"/>
                <w:color w:val="000000"/>
                <w:szCs w:val="21"/>
              </w:rPr>
              <w:t>符合下列情形之一的：</w:t>
            </w:r>
          </w:p>
          <w:p>
            <w:pPr>
              <w:spacing w:line="340" w:lineRule="exact"/>
              <w:rPr>
                <w:rFonts w:eastAsia="仿宋_GB2312"/>
                <w:color w:val="000000"/>
                <w:szCs w:val="21"/>
              </w:rPr>
            </w:pPr>
            <w:r>
              <w:rPr>
                <w:rFonts w:eastAsia="仿宋_GB2312"/>
                <w:color w:val="000000"/>
                <w:szCs w:val="21"/>
              </w:rPr>
              <w:t>1.</w:t>
            </w:r>
            <w:r>
              <w:rPr>
                <w:rFonts w:hint="eastAsia" w:eastAsia="仿宋_GB2312"/>
                <w:color w:val="000000"/>
                <w:szCs w:val="21"/>
              </w:rPr>
              <w:t>在相对集中的时间和区域内，批号相对集中的同一疫苗引起临床表现相似的，且罕见或非预期的不良事件的人数超过</w:t>
            </w:r>
            <w:r>
              <w:rPr>
                <w:rFonts w:eastAsia="仿宋_GB2312"/>
                <w:color w:val="000000"/>
                <w:szCs w:val="21"/>
              </w:rPr>
              <w:t>3</w:t>
            </w:r>
            <w:r>
              <w:rPr>
                <w:rFonts w:hint="eastAsia" w:eastAsia="仿宋_GB2312"/>
                <w:color w:val="000000"/>
                <w:szCs w:val="21"/>
              </w:rPr>
              <w:t>人、不多于</w:t>
            </w:r>
            <w:r>
              <w:rPr>
                <w:rFonts w:eastAsia="仿宋_GB2312"/>
                <w:color w:val="000000"/>
                <w:szCs w:val="21"/>
              </w:rPr>
              <w:t>5</w:t>
            </w:r>
            <w:r>
              <w:rPr>
                <w:rFonts w:hint="eastAsia" w:eastAsia="仿宋_GB2312"/>
                <w:color w:val="000000"/>
                <w:szCs w:val="21"/>
              </w:rPr>
              <w:t>人；或者引起特别严重不良事件（可能对人体造成永久性伤残、对器官功能造成永久性损伤或危及生命）超过</w:t>
            </w:r>
            <w:r>
              <w:rPr>
                <w:rFonts w:eastAsia="仿宋_GB2312"/>
                <w:color w:val="000000"/>
                <w:szCs w:val="21"/>
              </w:rPr>
              <w:t>1</w:t>
            </w:r>
            <w:r>
              <w:rPr>
                <w:rFonts w:hint="eastAsia" w:eastAsia="仿宋_GB2312"/>
                <w:color w:val="000000"/>
                <w:szCs w:val="21"/>
              </w:rPr>
              <w:t>人，疑似与质量相关的事件；</w:t>
            </w:r>
          </w:p>
          <w:p>
            <w:pPr>
              <w:spacing w:line="340" w:lineRule="exact"/>
              <w:rPr>
                <w:rFonts w:eastAsia="仿宋_GB2312"/>
                <w:color w:val="000000"/>
                <w:szCs w:val="21"/>
              </w:rPr>
            </w:pPr>
            <w:r>
              <w:rPr>
                <w:rFonts w:eastAsia="仿宋_GB2312"/>
                <w:color w:val="000000"/>
                <w:szCs w:val="21"/>
              </w:rPr>
              <w:t>2.</w:t>
            </w:r>
            <w:r>
              <w:rPr>
                <w:rFonts w:hint="eastAsia" w:eastAsia="仿宋_GB2312"/>
                <w:color w:val="000000"/>
                <w:szCs w:val="21"/>
              </w:rPr>
              <w:t>其他一般疫苗质量安全事件。</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eastAsia="仿宋_GB2312"/>
                <w:color w:val="000000"/>
                <w:szCs w:val="21"/>
              </w:rPr>
            </w:pPr>
            <w:r>
              <w:rPr>
                <w:rFonts w:eastAsia="仿宋_GB2312"/>
                <w:color w:val="000000"/>
                <w:szCs w:val="21"/>
              </w:rPr>
              <w:t>Ⅳ</w:t>
            </w:r>
            <w:r>
              <w:rPr>
                <w:rFonts w:hint="eastAsia" w:eastAsia="仿宋_GB2312"/>
                <w:color w:val="000000"/>
                <w:szCs w:val="21"/>
              </w:rPr>
              <w:t>级响应</w:t>
            </w:r>
          </w:p>
        </w:tc>
      </w:tr>
    </w:tbl>
    <w:p>
      <w:pPr>
        <w:spacing w:line="100" w:lineRule="exact"/>
        <w:ind w:firstLine="640" w:firstLineChars="200"/>
        <w:rPr>
          <w:rFonts w:ascii="Times New Roman" w:hAnsi="Times New Roman" w:eastAsia="仿宋_GB2312"/>
          <w:color w:val="000000"/>
          <w:sz w:val="32"/>
          <w:szCs w:val="32"/>
        </w:rPr>
      </w:pPr>
    </w:p>
    <w:p>
      <w:pPr>
        <w:jc w:val="center"/>
        <w:rPr>
          <w:rFonts w:ascii="宋体" w:hAnsi="宋体" w:cs="宋体"/>
          <w:color w:val="000000"/>
          <w:sz w:val="24"/>
        </w:rPr>
        <w:sectPr>
          <w:footerReference r:id="rId6" w:type="default"/>
          <w:pgSz w:w="11906" w:h="16838"/>
          <w:pgMar w:top="1134" w:right="1701" w:bottom="1134" w:left="1701" w:header="851" w:footer="992" w:gutter="0"/>
          <w:cols w:space="720" w:num="1"/>
          <w:docGrid w:type="lines" w:linePitch="312" w:charSpace="0"/>
        </w:sectPr>
      </w:pPr>
    </w:p>
    <w:p>
      <w:pPr>
        <w:spacing w:line="60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2</w:t>
      </w:r>
    </w:p>
    <w:p>
      <w:pPr>
        <w:spacing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 xml:space="preserve"> 疫苗安全重大信息报告表（初报）</w:t>
      </w:r>
    </w:p>
    <w:p>
      <w:pPr>
        <w:spacing w:line="100" w:lineRule="exact"/>
        <w:ind w:firstLine="880" w:firstLineChars="200"/>
        <w:rPr>
          <w:rFonts w:ascii="方正小标宋简体" w:hAnsi="Times New Roman" w:eastAsia="方正小标宋简体"/>
          <w:color w:val="000000"/>
          <w:sz w:val="44"/>
          <w:szCs w:val="44"/>
        </w:rPr>
      </w:pP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0"/>
        <w:gridCol w:w="2130"/>
        <w:gridCol w:w="2131"/>
        <w:gridCol w:w="27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事件名称</w:t>
            </w:r>
          </w:p>
        </w:tc>
        <w:tc>
          <w:tcPr>
            <w:tcW w:w="697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3555"/>
              </w:tabs>
              <w:spacing w:line="340" w:lineRule="exact"/>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事发地点</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涉及单位</w:t>
            </w:r>
          </w:p>
        </w:tc>
        <w:tc>
          <w:tcPr>
            <w:tcW w:w="27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发生时间</w:t>
            </w:r>
          </w:p>
        </w:tc>
        <w:tc>
          <w:tcPr>
            <w:tcW w:w="6978"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×年×月×日×时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初判等级</w:t>
            </w:r>
          </w:p>
        </w:tc>
        <w:tc>
          <w:tcPr>
            <w:tcW w:w="6978"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 xml:space="preserve">   </w:t>
            </w:r>
            <w:r>
              <w:rPr>
                <w:rFonts w:hint="eastAsia" w:eastAsia="仿宋_GB2312"/>
                <w:color w:val="000000"/>
                <w:sz w:val="28"/>
                <w:szCs w:val="28"/>
              </w:rPr>
              <w:t>）一般（</w:t>
            </w:r>
            <w:r>
              <w:rPr>
                <w:rFonts w:eastAsia="仿宋_GB2312"/>
                <w:color w:val="000000"/>
                <w:sz w:val="28"/>
                <w:szCs w:val="28"/>
              </w:rPr>
              <w:t xml:space="preserve"> </w:t>
            </w:r>
            <w:r>
              <w:rPr>
                <w:rFonts w:hint="eastAsia" w:eastAsia="仿宋_GB2312"/>
                <w:color w:val="000000"/>
                <w:sz w:val="28"/>
                <w:szCs w:val="28"/>
              </w:rPr>
              <w:t>Ⅳ级</w:t>
            </w:r>
            <w:r>
              <w:rPr>
                <w:rFonts w:eastAsia="仿宋_GB2312"/>
                <w:color w:val="000000"/>
                <w:sz w:val="28"/>
                <w:szCs w:val="28"/>
              </w:rPr>
              <w:t xml:space="preserve">  </w:t>
            </w:r>
            <w:r>
              <w:rPr>
                <w:rFonts w:hint="eastAsia" w:eastAsia="仿宋_GB2312"/>
                <w:color w:val="000000"/>
                <w:sz w:val="28"/>
                <w:szCs w:val="28"/>
              </w:rPr>
              <w:t>）</w:t>
            </w:r>
            <w:r>
              <w:rPr>
                <w:rFonts w:eastAsia="仿宋_GB2312"/>
                <w:color w:val="000000"/>
                <w:sz w:val="28"/>
                <w:szCs w:val="28"/>
              </w:rPr>
              <w:t xml:space="preserve">    </w:t>
            </w:r>
            <w:r>
              <w:rPr>
                <w:rFonts w:hint="eastAsia" w:eastAsia="仿宋_GB2312"/>
                <w:color w:val="000000"/>
                <w:sz w:val="28"/>
                <w:szCs w:val="28"/>
              </w:rPr>
              <w:t>（</w:t>
            </w:r>
            <w:r>
              <w:rPr>
                <w:rFonts w:eastAsia="仿宋_GB2312"/>
                <w:color w:val="000000"/>
                <w:sz w:val="28"/>
                <w:szCs w:val="28"/>
              </w:rPr>
              <w:t xml:space="preserve">   </w:t>
            </w:r>
            <w:r>
              <w:rPr>
                <w:rFonts w:hint="eastAsia" w:eastAsia="仿宋_GB2312"/>
                <w:color w:val="000000"/>
                <w:sz w:val="28"/>
                <w:szCs w:val="28"/>
              </w:rPr>
              <w:t>）较大（</w:t>
            </w:r>
            <w:r>
              <w:rPr>
                <w:rFonts w:eastAsia="仿宋_GB2312"/>
                <w:color w:val="000000"/>
                <w:sz w:val="28"/>
                <w:szCs w:val="28"/>
              </w:rPr>
              <w:t xml:space="preserve"> </w:t>
            </w:r>
            <w:r>
              <w:rPr>
                <w:rFonts w:hint="eastAsia" w:eastAsia="仿宋_GB2312"/>
                <w:color w:val="000000"/>
                <w:sz w:val="28"/>
                <w:szCs w:val="28"/>
              </w:rPr>
              <w:t>Ⅲ级</w:t>
            </w:r>
            <w:r>
              <w:rPr>
                <w:rFonts w:eastAsia="仿宋_GB2312"/>
                <w:color w:val="000000"/>
                <w:sz w:val="28"/>
                <w:szCs w:val="28"/>
              </w:rPr>
              <w:t xml:space="preserve"> </w:t>
            </w:r>
            <w:r>
              <w:rPr>
                <w:rFonts w:hint="eastAsia" w:eastAsia="仿宋_GB2312"/>
                <w:color w:val="000000"/>
                <w:sz w:val="28"/>
                <w:szCs w:val="28"/>
              </w:rPr>
              <w:t>）</w:t>
            </w:r>
          </w:p>
          <w:p>
            <w:pPr>
              <w:spacing w:line="340" w:lineRule="exact"/>
              <w:jc w:val="center"/>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 xml:space="preserve">   </w:t>
            </w:r>
            <w:r>
              <w:rPr>
                <w:rFonts w:hint="eastAsia" w:eastAsia="仿宋_GB2312"/>
                <w:color w:val="000000"/>
                <w:sz w:val="28"/>
                <w:szCs w:val="28"/>
              </w:rPr>
              <w:t>）重大（</w:t>
            </w:r>
            <w:r>
              <w:rPr>
                <w:rFonts w:eastAsia="仿宋_GB2312"/>
                <w:color w:val="000000"/>
                <w:sz w:val="28"/>
                <w:szCs w:val="28"/>
              </w:rPr>
              <w:t xml:space="preserve"> </w:t>
            </w:r>
            <w:r>
              <w:rPr>
                <w:rFonts w:hint="eastAsia" w:eastAsia="仿宋_GB2312"/>
                <w:color w:val="000000"/>
                <w:sz w:val="28"/>
                <w:szCs w:val="28"/>
              </w:rPr>
              <w:t>Ⅱ级</w:t>
            </w:r>
            <w:r>
              <w:rPr>
                <w:rFonts w:eastAsia="仿宋_GB2312"/>
                <w:color w:val="000000"/>
                <w:sz w:val="28"/>
                <w:szCs w:val="28"/>
              </w:rPr>
              <w:t xml:space="preserve">  </w:t>
            </w:r>
            <w:r>
              <w:rPr>
                <w:rFonts w:hint="eastAsia" w:eastAsia="仿宋_GB2312"/>
                <w:color w:val="000000"/>
                <w:sz w:val="28"/>
                <w:szCs w:val="28"/>
              </w:rPr>
              <w:t>）</w:t>
            </w:r>
            <w:r>
              <w:rPr>
                <w:rFonts w:eastAsia="仿宋_GB2312"/>
                <w:color w:val="000000"/>
                <w:sz w:val="28"/>
                <w:szCs w:val="28"/>
              </w:rPr>
              <w:t xml:space="preserve">    </w:t>
            </w:r>
            <w:r>
              <w:rPr>
                <w:rFonts w:hint="eastAsia" w:eastAsia="仿宋_GB2312"/>
                <w:color w:val="000000"/>
                <w:sz w:val="28"/>
                <w:szCs w:val="28"/>
              </w:rPr>
              <w:t>（</w:t>
            </w:r>
            <w:r>
              <w:rPr>
                <w:rFonts w:eastAsia="仿宋_GB2312"/>
                <w:color w:val="000000"/>
                <w:sz w:val="28"/>
                <w:szCs w:val="28"/>
              </w:rPr>
              <w:t xml:space="preserve">   </w:t>
            </w:r>
            <w:r>
              <w:rPr>
                <w:rFonts w:hint="eastAsia" w:eastAsia="仿宋_GB2312"/>
                <w:color w:val="000000"/>
                <w:sz w:val="28"/>
                <w:szCs w:val="28"/>
              </w:rPr>
              <w:t>）特大（Ⅰ级</w:t>
            </w:r>
            <w:r>
              <w:rPr>
                <w:rFonts w:eastAsia="仿宋_GB2312"/>
                <w:color w:val="000000"/>
                <w:sz w:val="28"/>
                <w:szCs w:val="28"/>
              </w:rPr>
              <w:t xml:space="preserve"> </w:t>
            </w:r>
            <w:r>
              <w:rPr>
                <w:rFonts w:hint="eastAsia"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5" w:hRule="atLeast"/>
          <w:jc w:val="center"/>
        </w:trPr>
        <w:tc>
          <w:tcPr>
            <w:tcW w:w="9468"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eastAsia="仿宋_GB2312"/>
                <w:color w:val="000000"/>
                <w:sz w:val="28"/>
                <w:szCs w:val="28"/>
              </w:rPr>
            </w:pPr>
            <w:r>
              <w:rPr>
                <w:rFonts w:hint="eastAsia" w:eastAsia="仿宋_GB2312"/>
                <w:color w:val="000000"/>
                <w:sz w:val="28"/>
                <w:szCs w:val="28"/>
              </w:rPr>
              <w:t>基本情况：（主要包括事件概况，报告和通报情况，已采取的措施等）</w:t>
            </w: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报告单位</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报告时间</w:t>
            </w:r>
          </w:p>
        </w:tc>
        <w:tc>
          <w:tcPr>
            <w:tcW w:w="27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报告人</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p>
        </w:tc>
        <w:tc>
          <w:tcPr>
            <w:tcW w:w="213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联系方式</w:t>
            </w:r>
          </w:p>
        </w:tc>
        <w:tc>
          <w:tcPr>
            <w:tcW w:w="27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eastAsia="仿宋_GB2312"/>
                <w:color w:val="000000"/>
                <w:sz w:val="28"/>
                <w:szCs w:val="28"/>
              </w:rPr>
            </w:pPr>
            <w:r>
              <w:rPr>
                <w:rFonts w:hint="eastAsia" w:eastAsia="仿宋_GB2312"/>
                <w:color w:val="000000"/>
                <w:sz w:val="28"/>
                <w:szCs w:val="28"/>
              </w:rPr>
              <w:t>电话：</w:t>
            </w:r>
          </w:p>
          <w:p>
            <w:pPr>
              <w:spacing w:line="340" w:lineRule="exact"/>
              <w:rPr>
                <w:rFonts w:eastAsia="仿宋_GB2312"/>
                <w:color w:val="000000"/>
                <w:sz w:val="28"/>
                <w:szCs w:val="28"/>
              </w:rPr>
            </w:pPr>
            <w:r>
              <w:rPr>
                <w:rFonts w:hint="eastAsia" w:eastAsia="仿宋_GB2312"/>
                <w:color w:val="000000"/>
                <w:sz w:val="28"/>
                <w:szCs w:val="28"/>
              </w:rPr>
              <w:t>手机：</w:t>
            </w:r>
          </w:p>
          <w:p>
            <w:pPr>
              <w:spacing w:line="340" w:lineRule="exact"/>
              <w:rPr>
                <w:rFonts w:eastAsia="仿宋_GB2312"/>
                <w:color w:val="000000"/>
                <w:sz w:val="28"/>
                <w:szCs w:val="28"/>
              </w:rPr>
            </w:pPr>
            <w:r>
              <w:rPr>
                <w:rFonts w:hint="eastAsia" w:eastAsia="仿宋_GB2312"/>
                <w:color w:val="000000"/>
                <w:sz w:val="28"/>
                <w:szCs w:val="28"/>
              </w:rPr>
              <w:t>传真：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职</w:t>
            </w:r>
            <w:r>
              <w:rPr>
                <w:rFonts w:eastAsia="仿宋_GB2312"/>
                <w:color w:val="000000"/>
                <w:sz w:val="28"/>
                <w:szCs w:val="28"/>
              </w:rPr>
              <w:t xml:space="preserve">  </w:t>
            </w:r>
            <w:r>
              <w:rPr>
                <w:rFonts w:hint="eastAsia" w:eastAsia="仿宋_GB2312"/>
                <w:color w:val="000000"/>
                <w:sz w:val="28"/>
                <w:szCs w:val="28"/>
              </w:rPr>
              <w:t>务</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p>
        </w:tc>
        <w:tc>
          <w:tcPr>
            <w:tcW w:w="213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8"/>
                <w:szCs w:val="28"/>
              </w:rPr>
            </w:pPr>
          </w:p>
        </w:tc>
        <w:tc>
          <w:tcPr>
            <w:tcW w:w="27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8"/>
                <w:szCs w:val="28"/>
              </w:rPr>
            </w:pPr>
          </w:p>
        </w:tc>
      </w:tr>
    </w:tbl>
    <w:p>
      <w:pPr>
        <w:spacing w:line="600" w:lineRule="exact"/>
        <w:ind w:firstLine="480" w:firstLineChars="200"/>
        <w:rPr>
          <w:rFonts w:ascii="Times New Roman" w:hAnsi="Times New Roman" w:eastAsia="仿宋_GB2312"/>
          <w:color w:val="000000"/>
          <w:sz w:val="24"/>
        </w:rPr>
      </w:pPr>
      <w:r>
        <w:rPr>
          <w:rFonts w:hint="eastAsia" w:ascii="黑体" w:hAnsi="黑体" w:eastAsia="黑体" w:cs="黑体"/>
          <w:color w:val="000000"/>
          <w:sz w:val="24"/>
        </w:rPr>
        <w:t>说明：</w:t>
      </w:r>
      <w:r>
        <w:rPr>
          <w:rFonts w:hint="eastAsia" w:ascii="Times New Roman" w:hAnsi="Times New Roman" w:eastAsia="仿宋_GB2312"/>
          <w:color w:val="000000"/>
          <w:sz w:val="24"/>
        </w:rPr>
        <w:t>本表可根据情况多页填写。</w:t>
      </w:r>
    </w:p>
    <w:p>
      <w:pPr>
        <w:spacing w:line="60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3</w:t>
      </w:r>
    </w:p>
    <w:p>
      <w:pPr>
        <w:spacing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 xml:space="preserve"> 疫苗安全重大信息报告表（续报）</w:t>
      </w:r>
    </w:p>
    <w:p>
      <w:pPr>
        <w:spacing w:line="100" w:lineRule="exact"/>
        <w:ind w:firstLine="880" w:firstLineChars="200"/>
        <w:rPr>
          <w:rFonts w:ascii="方正小标宋简体" w:hAnsi="Times New Roman" w:eastAsia="方正小标宋简体"/>
          <w:color w:val="000000"/>
          <w:sz w:val="44"/>
          <w:szCs w:val="44"/>
        </w:rPr>
      </w:pP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6"/>
        <w:gridCol w:w="776"/>
        <w:gridCol w:w="2130"/>
        <w:gridCol w:w="1504"/>
        <w:gridCol w:w="3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256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事件名称</w:t>
            </w:r>
          </w:p>
        </w:tc>
        <w:tc>
          <w:tcPr>
            <w:tcW w:w="6978"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56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当前事件等级判断</w:t>
            </w:r>
          </w:p>
          <w:p>
            <w:pPr>
              <w:spacing w:line="340" w:lineRule="exact"/>
              <w:jc w:val="center"/>
              <w:rPr>
                <w:rFonts w:eastAsia="仿宋_GB2312"/>
                <w:color w:val="000000"/>
                <w:sz w:val="28"/>
                <w:szCs w:val="28"/>
              </w:rPr>
            </w:pPr>
            <w:r>
              <w:rPr>
                <w:rFonts w:hint="eastAsia" w:eastAsia="仿宋_GB2312"/>
                <w:color w:val="000000"/>
                <w:sz w:val="28"/>
                <w:szCs w:val="28"/>
              </w:rPr>
              <w:t>（√）</w:t>
            </w:r>
          </w:p>
        </w:tc>
        <w:tc>
          <w:tcPr>
            <w:tcW w:w="6978"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 xml:space="preserve">   </w:t>
            </w:r>
            <w:r>
              <w:rPr>
                <w:rFonts w:hint="eastAsia" w:eastAsia="仿宋_GB2312"/>
                <w:color w:val="000000"/>
                <w:sz w:val="28"/>
                <w:szCs w:val="28"/>
              </w:rPr>
              <w:t>）一般（Ⅳ级）</w:t>
            </w:r>
            <w:r>
              <w:rPr>
                <w:rFonts w:eastAsia="仿宋_GB2312"/>
                <w:color w:val="000000"/>
                <w:sz w:val="28"/>
                <w:szCs w:val="28"/>
              </w:rPr>
              <w:t xml:space="preserve">    </w:t>
            </w:r>
            <w:r>
              <w:rPr>
                <w:rFonts w:hint="eastAsia" w:eastAsia="仿宋_GB2312"/>
                <w:color w:val="000000"/>
                <w:sz w:val="28"/>
                <w:szCs w:val="28"/>
              </w:rPr>
              <w:t>（</w:t>
            </w:r>
            <w:r>
              <w:rPr>
                <w:rFonts w:eastAsia="仿宋_GB2312"/>
                <w:color w:val="000000"/>
                <w:sz w:val="28"/>
                <w:szCs w:val="28"/>
              </w:rPr>
              <w:t xml:space="preserve">   </w:t>
            </w:r>
            <w:r>
              <w:rPr>
                <w:rFonts w:hint="eastAsia" w:eastAsia="仿宋_GB2312"/>
                <w:color w:val="000000"/>
                <w:sz w:val="28"/>
                <w:szCs w:val="28"/>
              </w:rPr>
              <w:t>）较大（Ⅲ级）</w:t>
            </w:r>
          </w:p>
          <w:p>
            <w:pPr>
              <w:spacing w:line="340" w:lineRule="exact"/>
              <w:jc w:val="center"/>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 xml:space="preserve">   </w:t>
            </w:r>
            <w:r>
              <w:rPr>
                <w:rFonts w:hint="eastAsia" w:eastAsia="仿宋_GB2312"/>
                <w:color w:val="000000"/>
                <w:sz w:val="28"/>
                <w:szCs w:val="28"/>
              </w:rPr>
              <w:t>）重大（Ⅱ级）</w:t>
            </w:r>
            <w:r>
              <w:rPr>
                <w:rFonts w:eastAsia="仿宋_GB2312"/>
                <w:color w:val="000000"/>
                <w:sz w:val="28"/>
                <w:szCs w:val="28"/>
              </w:rPr>
              <w:t xml:space="preserve">    </w:t>
            </w:r>
            <w:r>
              <w:rPr>
                <w:rFonts w:hint="eastAsia" w:eastAsia="仿宋_GB2312"/>
                <w:color w:val="000000"/>
                <w:sz w:val="28"/>
                <w:szCs w:val="28"/>
              </w:rPr>
              <w:t>（</w:t>
            </w:r>
            <w:r>
              <w:rPr>
                <w:rFonts w:eastAsia="仿宋_GB2312"/>
                <w:color w:val="000000"/>
                <w:sz w:val="28"/>
                <w:szCs w:val="28"/>
              </w:rPr>
              <w:t xml:space="preserve">   </w:t>
            </w:r>
            <w:r>
              <w:rPr>
                <w:rFonts w:hint="eastAsia" w:eastAsia="仿宋_GB2312"/>
                <w:color w:val="000000"/>
                <w:sz w:val="28"/>
                <w:szCs w:val="28"/>
              </w:rPr>
              <w:t>）特大（Ⅰ级）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5" w:hRule="atLeast"/>
          <w:jc w:val="center"/>
        </w:trPr>
        <w:tc>
          <w:tcPr>
            <w:tcW w:w="9540" w:type="dxa"/>
            <w:gridSpan w:val="5"/>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eastAsia="仿宋_GB2312"/>
                <w:color w:val="000000"/>
                <w:sz w:val="28"/>
                <w:szCs w:val="28"/>
              </w:rPr>
            </w:pPr>
            <w:r>
              <w:rPr>
                <w:rFonts w:hint="eastAsia" w:eastAsia="仿宋_GB2312"/>
                <w:color w:val="000000"/>
                <w:sz w:val="28"/>
                <w:szCs w:val="28"/>
              </w:rPr>
              <w:t>事件进展情况：（主要包括事件调查核实情况，处置进展情况等）</w:t>
            </w: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p>
            <w:pPr>
              <w:spacing w:line="340" w:lineRule="exact"/>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续报单位</w:t>
            </w:r>
          </w:p>
        </w:tc>
        <w:tc>
          <w:tcPr>
            <w:tcW w:w="290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续报时间</w:t>
            </w:r>
          </w:p>
        </w:tc>
        <w:tc>
          <w:tcPr>
            <w:tcW w:w="334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报告人</w:t>
            </w:r>
          </w:p>
        </w:tc>
        <w:tc>
          <w:tcPr>
            <w:tcW w:w="290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p>
        </w:tc>
        <w:tc>
          <w:tcPr>
            <w:tcW w:w="15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联系方式</w:t>
            </w:r>
          </w:p>
        </w:tc>
        <w:tc>
          <w:tcPr>
            <w:tcW w:w="334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eastAsia="仿宋_GB2312"/>
                <w:color w:val="000000"/>
                <w:sz w:val="28"/>
                <w:szCs w:val="28"/>
              </w:rPr>
            </w:pPr>
            <w:r>
              <w:rPr>
                <w:rFonts w:hint="eastAsia" w:eastAsia="仿宋_GB2312"/>
                <w:color w:val="000000"/>
                <w:sz w:val="28"/>
                <w:szCs w:val="28"/>
              </w:rPr>
              <w:t>电话：</w:t>
            </w:r>
          </w:p>
          <w:p>
            <w:pPr>
              <w:spacing w:line="340" w:lineRule="exact"/>
              <w:rPr>
                <w:rFonts w:eastAsia="仿宋_GB2312"/>
                <w:color w:val="000000"/>
                <w:sz w:val="28"/>
                <w:szCs w:val="28"/>
              </w:rPr>
            </w:pPr>
            <w:r>
              <w:rPr>
                <w:rFonts w:hint="eastAsia" w:eastAsia="仿宋_GB2312"/>
                <w:color w:val="000000"/>
                <w:sz w:val="28"/>
                <w:szCs w:val="28"/>
              </w:rPr>
              <w:t>手机：</w:t>
            </w:r>
          </w:p>
          <w:p>
            <w:pPr>
              <w:spacing w:line="340" w:lineRule="exact"/>
              <w:rPr>
                <w:rFonts w:eastAsia="仿宋_GB2312"/>
                <w:color w:val="000000"/>
                <w:sz w:val="28"/>
                <w:szCs w:val="28"/>
              </w:rPr>
            </w:pPr>
            <w:r>
              <w:rPr>
                <w:rFonts w:hint="eastAsia" w:eastAsia="仿宋_GB2312"/>
                <w:color w:val="000000"/>
                <w:sz w:val="28"/>
                <w:szCs w:val="28"/>
              </w:rPr>
              <w:t>传真：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r>
              <w:rPr>
                <w:rFonts w:hint="eastAsia" w:eastAsia="仿宋_GB2312"/>
                <w:color w:val="000000"/>
                <w:sz w:val="28"/>
                <w:szCs w:val="28"/>
              </w:rPr>
              <w:t>职</w:t>
            </w:r>
            <w:r>
              <w:rPr>
                <w:rFonts w:eastAsia="仿宋_GB2312"/>
                <w:color w:val="000000"/>
                <w:sz w:val="28"/>
                <w:szCs w:val="28"/>
              </w:rPr>
              <w:t xml:space="preserve">  </w:t>
            </w:r>
            <w:r>
              <w:rPr>
                <w:rFonts w:hint="eastAsia" w:eastAsia="仿宋_GB2312"/>
                <w:color w:val="000000"/>
                <w:sz w:val="28"/>
                <w:szCs w:val="28"/>
              </w:rPr>
              <w:t>务</w:t>
            </w:r>
          </w:p>
        </w:tc>
        <w:tc>
          <w:tcPr>
            <w:tcW w:w="290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color w:val="000000"/>
                <w:sz w:val="28"/>
                <w:szCs w:val="28"/>
              </w:rPr>
            </w:pPr>
          </w:p>
        </w:tc>
        <w:tc>
          <w:tcPr>
            <w:tcW w:w="150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8"/>
                <w:szCs w:val="28"/>
              </w:rPr>
            </w:pPr>
          </w:p>
        </w:tc>
        <w:tc>
          <w:tcPr>
            <w:tcW w:w="334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8"/>
                <w:szCs w:val="28"/>
              </w:rPr>
            </w:pPr>
          </w:p>
        </w:tc>
      </w:tr>
    </w:tbl>
    <w:p>
      <w:pPr>
        <w:spacing w:line="600" w:lineRule="exact"/>
        <w:ind w:firstLine="480" w:firstLineChars="200"/>
        <w:rPr>
          <w:rFonts w:ascii="Times New Roman" w:hAnsi="Times New Roman" w:eastAsia="仿宋_GB2312"/>
          <w:color w:val="000000"/>
          <w:sz w:val="24"/>
        </w:rPr>
      </w:pPr>
      <w:r>
        <w:rPr>
          <w:rFonts w:hint="eastAsia" w:ascii="黑体" w:hAnsi="黑体" w:eastAsia="黑体" w:cs="黑体"/>
          <w:color w:val="000000"/>
          <w:sz w:val="24"/>
        </w:rPr>
        <w:t>说明：</w:t>
      </w:r>
      <w:r>
        <w:rPr>
          <w:rFonts w:hint="eastAsia" w:ascii="Times New Roman" w:hAnsi="Times New Roman" w:eastAsia="仿宋_GB2312"/>
          <w:color w:val="000000"/>
          <w:sz w:val="24"/>
        </w:rPr>
        <w:t>本表可根据情况多页填写。</w:t>
      </w:r>
    </w:p>
    <w:p>
      <w:pPr>
        <w:jc w:val="center"/>
        <w:rPr>
          <w:rFonts w:ascii="宋体" w:hAnsi="宋体" w:cs="宋体"/>
          <w:color w:val="000000"/>
          <w:sz w:val="24"/>
        </w:rPr>
        <w:sectPr>
          <w:pgSz w:w="11906" w:h="16838"/>
          <w:pgMar w:top="1134" w:right="1418" w:bottom="1134" w:left="1418" w:header="851" w:footer="851" w:gutter="0"/>
          <w:cols w:space="720" w:num="1"/>
          <w:docGrid w:type="lines" w:linePitch="312" w:charSpace="0"/>
        </w:sectPr>
      </w:pPr>
    </w:p>
    <w:p>
      <w:pPr>
        <w:spacing w:line="60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4</w:t>
      </w:r>
    </w:p>
    <w:p>
      <w:pPr>
        <w:spacing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疫苗安全事件信息报告</w:t>
      </w:r>
    </w:p>
    <w:p>
      <w:pPr>
        <w:spacing w:line="560" w:lineRule="exact"/>
        <w:rPr>
          <w:rFonts w:ascii="Times New Roman" w:hAnsi="Times New Roman"/>
          <w:color w:val="000000"/>
        </w:rPr>
      </w:pPr>
    </w:p>
    <w:tbl>
      <w:tblPr>
        <w:tblStyle w:val="3"/>
        <w:tblW w:w="0" w:type="auto"/>
        <w:jc w:val="center"/>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9"/>
      </w:tblGrid>
      <w:tr>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8959" w:type="dxa"/>
            <w:tcBorders>
              <w:top w:val="nil"/>
              <w:left w:val="nil"/>
              <w:bottom w:val="single" w:color="auto" w:sz="12" w:space="0"/>
              <w:right w:val="nil"/>
            </w:tcBorders>
            <w:noWrap w:val="0"/>
            <w:vAlign w:val="top"/>
          </w:tcPr>
          <w:p>
            <w:pPr>
              <w:spacing w:line="560" w:lineRule="exact"/>
              <w:rPr>
                <w:rFonts w:eastAsia="仿宋_GB2312"/>
                <w:color w:val="000000"/>
                <w:szCs w:val="32"/>
              </w:rPr>
            </w:pPr>
            <w:r>
              <w:rPr>
                <w:rFonts w:eastAsia="仿宋_GB2312"/>
                <w:color w:val="000000"/>
                <w:sz w:val="28"/>
                <w:szCs w:val="28"/>
              </w:rPr>
              <w:t>XXX</w:t>
            </w:r>
            <w:r>
              <w:rPr>
                <w:rFonts w:hint="eastAsia" w:eastAsia="仿宋_GB2312"/>
                <w:color w:val="000000"/>
                <w:sz w:val="28"/>
                <w:szCs w:val="28"/>
              </w:rPr>
              <w:t>市场监督管理局</w:t>
            </w:r>
            <w:r>
              <w:rPr>
                <w:rFonts w:eastAsia="仿宋_GB2312"/>
                <w:color w:val="000000"/>
                <w:sz w:val="28"/>
                <w:szCs w:val="28"/>
              </w:rPr>
              <w:t xml:space="preserve">                      </w:t>
            </w:r>
            <w:r>
              <w:rPr>
                <w:rFonts w:hint="eastAsia" w:eastAsia="仿宋_GB2312"/>
                <w:color w:val="000000"/>
                <w:sz w:val="28"/>
                <w:szCs w:val="28"/>
              </w:rPr>
              <w:t>签发人：</w:t>
            </w:r>
          </w:p>
        </w:tc>
      </w:tr>
    </w:tbl>
    <w:p>
      <w:pPr>
        <w:spacing w:line="560" w:lineRule="exact"/>
        <w:rPr>
          <w:rFonts w:ascii="Times New Roman" w:hAnsi="Times New Roman" w:eastAsia="仿宋_GB2312"/>
          <w:color w:val="000000"/>
          <w:szCs w:val="32"/>
        </w:rPr>
      </w:pPr>
    </w:p>
    <w:p>
      <w:pPr>
        <w:spacing w:line="600" w:lineRule="exact"/>
        <w:jc w:val="center"/>
        <w:rPr>
          <w:rFonts w:ascii="黑体" w:hAnsi="黑体" w:eastAsia="黑体"/>
          <w:color w:val="000000"/>
          <w:sz w:val="44"/>
          <w:szCs w:val="44"/>
        </w:rPr>
      </w:pPr>
      <w:r>
        <w:rPr>
          <w:rFonts w:hint="eastAsia" w:ascii="黑体" w:hAnsi="黑体" w:eastAsia="黑体" w:cs="宋体"/>
          <w:color w:val="000000"/>
          <w:sz w:val="44"/>
          <w:szCs w:val="44"/>
        </w:rPr>
        <w:t>（</w:t>
      </w:r>
      <w:r>
        <w:rPr>
          <w:rFonts w:hint="eastAsia" w:ascii="黑体" w:hAnsi="黑体" w:eastAsia="黑体" w:cs="Z@RFEEA.tmp"/>
          <w:color w:val="000000"/>
          <w:sz w:val="44"/>
          <w:szCs w:val="44"/>
        </w:rPr>
        <w:t>标</w:t>
      </w:r>
      <w:r>
        <w:rPr>
          <w:rFonts w:hint="eastAsia" w:ascii="黑体" w:hAnsi="黑体" w:eastAsia="黑体" w:cs="宋体"/>
          <w:color w:val="000000"/>
          <w:sz w:val="44"/>
          <w:szCs w:val="44"/>
        </w:rPr>
        <w:t>题）</w:t>
      </w:r>
    </w:p>
    <w:p>
      <w:pPr>
        <w:spacing w:line="560" w:lineRule="exact"/>
        <w:rPr>
          <w:rFonts w:ascii="Times New Roman" w:hAnsi="Times New Roman" w:eastAsia="仿宋_GB2312"/>
          <w:b/>
          <w:bCs/>
          <w:color w:val="000000"/>
          <w:sz w:val="32"/>
          <w:szCs w:val="32"/>
        </w:rPr>
      </w:pPr>
    </w:p>
    <w:p>
      <w:pPr>
        <w:spacing w:line="56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w w:val="97"/>
          <w:sz w:val="32"/>
          <w:szCs w:val="32"/>
        </w:rPr>
        <w:t>（正文按公文格式排版</w:t>
      </w:r>
      <w:r>
        <w:rPr>
          <w:rFonts w:hint="eastAsia" w:ascii="Times New Roman" w:hAnsi="Times New Roman" w:eastAsia="仿宋_GB2312"/>
          <w:color w:val="000000"/>
          <w:spacing w:val="3"/>
          <w:w w:val="97"/>
          <w:sz w:val="32"/>
          <w:szCs w:val="32"/>
        </w:rPr>
        <w:t>）</w:t>
      </w: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400" w:lineRule="exact"/>
        <w:rPr>
          <w:rFonts w:hint="eastAsia" w:ascii="Times New Roman" w:hAnsi="Times New Roman" w:eastAsia="仿宋_GB2312"/>
          <w:color w:val="000000"/>
          <w:sz w:val="32"/>
          <w:szCs w:val="32"/>
        </w:rPr>
      </w:pPr>
    </w:p>
    <w:p>
      <w:pPr>
        <w:spacing w:line="400" w:lineRule="exact"/>
        <w:rPr>
          <w:rFonts w:hint="eastAsia" w:ascii="Times New Roman" w:hAnsi="Times New Roman" w:eastAsia="仿宋_GB2312"/>
          <w:color w:val="000000"/>
          <w:sz w:val="32"/>
          <w:szCs w:val="32"/>
        </w:rPr>
      </w:pPr>
    </w:p>
    <w:p>
      <w:pPr>
        <w:spacing w:line="400" w:lineRule="exact"/>
        <w:rPr>
          <w:rFonts w:ascii="Times New Roman" w:hAnsi="Times New Roman" w:eastAsia="仿宋_GB2312"/>
          <w:color w:val="000000"/>
          <w:sz w:val="32"/>
          <w:szCs w:val="32"/>
        </w:rPr>
      </w:pPr>
    </w:p>
    <w:tbl>
      <w:tblPr>
        <w:tblStyle w:val="3"/>
        <w:tblW w:w="0" w:type="auto"/>
        <w:jc w:val="center"/>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9"/>
      </w:tblGrid>
      <w:tr>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959" w:type="dxa"/>
            <w:tcBorders>
              <w:top w:val="nil"/>
              <w:left w:val="nil"/>
              <w:bottom w:val="single" w:color="auto" w:sz="12" w:space="0"/>
              <w:right w:val="nil"/>
            </w:tcBorders>
            <w:noWrap w:val="0"/>
            <w:vAlign w:val="top"/>
          </w:tcPr>
          <w:p>
            <w:pPr>
              <w:spacing w:line="560" w:lineRule="exact"/>
              <w:rPr>
                <w:rFonts w:eastAsia="仿宋_GB2312"/>
                <w:color w:val="000000"/>
                <w:sz w:val="32"/>
                <w:szCs w:val="32"/>
              </w:rPr>
            </w:pPr>
            <w:r>
              <w:rPr>
                <w:rFonts w:hint="eastAsia" w:eastAsia="仿宋_GB2312"/>
                <w:color w:val="000000"/>
                <w:w w:val="97"/>
                <w:sz w:val="32"/>
                <w:szCs w:val="32"/>
              </w:rPr>
              <w:t>主送：</w:t>
            </w:r>
            <w:r>
              <w:rPr>
                <w:rFonts w:eastAsia="仿宋_GB2312"/>
                <w:color w:val="000000"/>
                <w:w w:val="97"/>
                <w:sz w:val="32"/>
                <w:szCs w:val="32"/>
              </w:rPr>
              <w:t>XXXXX</w:t>
            </w:r>
            <w:r>
              <w:rPr>
                <w:rFonts w:hint="eastAsia" w:eastAsia="仿宋_GB2312"/>
                <w:color w:val="000000"/>
                <w:w w:val="97"/>
                <w:sz w:val="32"/>
                <w:szCs w:val="32"/>
              </w:rPr>
              <w:t>人民政府</w:t>
            </w:r>
            <w:r>
              <w:rPr>
                <w:rFonts w:eastAsia="仿宋_GB2312"/>
                <w:color w:val="000000"/>
                <w:w w:val="97"/>
                <w:sz w:val="32"/>
                <w:szCs w:val="32"/>
              </w:rPr>
              <w:t xml:space="preserve">             </w:t>
            </w:r>
            <w:r>
              <w:rPr>
                <w:rFonts w:hint="eastAsia" w:eastAsia="仿宋_GB2312"/>
                <w:color w:val="000000"/>
                <w:w w:val="97"/>
                <w:sz w:val="32"/>
                <w:szCs w:val="32"/>
              </w:rPr>
              <w:t>抄报</w:t>
            </w:r>
            <w:r>
              <w:rPr>
                <w:rFonts w:hint="eastAsia" w:eastAsia="仿宋_GB2312"/>
                <w:color w:val="000000"/>
                <w:spacing w:val="17"/>
                <w:w w:val="97"/>
                <w:sz w:val="32"/>
                <w:szCs w:val="32"/>
              </w:rPr>
              <w:t>：</w:t>
            </w:r>
          </w:p>
        </w:tc>
      </w:tr>
    </w:tbl>
    <w:p>
      <w:pPr>
        <w:spacing w:line="480" w:lineRule="auto"/>
        <w:ind w:left="210" w:leftChars="100"/>
        <w:rPr>
          <w:rFonts w:ascii="Times New Roman" w:hAnsi="Times New Roman"/>
          <w:color w:val="000000"/>
          <w:sz w:val="32"/>
          <w:szCs w:val="32"/>
        </w:rPr>
      </w:pPr>
      <w:r>
        <w:rPr>
          <w:rFonts w:hint="eastAsia" w:ascii="Times New Roman" w:hAnsi="Times New Roman" w:eastAsia="仿宋_GB2312"/>
          <w:color w:val="000000"/>
          <w:w w:val="97"/>
          <w:sz w:val="28"/>
          <w:szCs w:val="28"/>
        </w:rPr>
        <w:t>编辑：</w:t>
      </w:r>
      <w:r>
        <w:rPr>
          <w:rFonts w:ascii="Times New Roman" w:hAnsi="Times New Roman" w:eastAsia="仿宋_GB2312"/>
          <w:color w:val="000000"/>
          <w:w w:val="97"/>
          <w:sz w:val="28"/>
          <w:szCs w:val="28"/>
        </w:rPr>
        <w:t xml:space="preserve">            </w:t>
      </w:r>
      <w:r>
        <w:rPr>
          <w:rFonts w:hint="eastAsia" w:ascii="Times New Roman" w:hAnsi="Times New Roman" w:eastAsia="仿宋_GB2312"/>
          <w:color w:val="000000"/>
          <w:w w:val="97"/>
          <w:sz w:val="28"/>
          <w:szCs w:val="28"/>
        </w:rPr>
        <w:t>联系电话：</w:t>
      </w:r>
      <w:r>
        <w:rPr>
          <w:rFonts w:ascii="Times New Roman" w:hAnsi="Times New Roman" w:eastAsia="仿宋_GB2312"/>
          <w:color w:val="000000"/>
          <w:w w:val="97"/>
          <w:sz w:val="28"/>
          <w:szCs w:val="28"/>
        </w:rPr>
        <w:t xml:space="preserve">              </w:t>
      </w:r>
      <w:r>
        <w:rPr>
          <w:rFonts w:hint="eastAsia" w:ascii="Times New Roman" w:hAnsi="Times New Roman" w:eastAsia="仿宋_GB2312"/>
          <w:color w:val="000000"/>
          <w:w w:val="97"/>
          <w:sz w:val="28"/>
          <w:szCs w:val="28"/>
        </w:rPr>
        <w:t>签发</w:t>
      </w:r>
      <w:r>
        <w:rPr>
          <w:rFonts w:hint="eastAsia" w:ascii="Times New Roman" w:hAnsi="Times New Roman" w:eastAsia="仿宋_GB2312"/>
          <w:color w:val="000000"/>
          <w:spacing w:val="21"/>
          <w:w w:val="97"/>
          <w:sz w:val="28"/>
          <w:szCs w:val="28"/>
        </w:rPr>
        <w:t>：</w:t>
      </w:r>
    </w:p>
    <w:p>
      <w:pPr>
        <w:rPr>
          <w:color w:val="000000"/>
        </w:rPr>
      </w:pPr>
    </w:p>
    <w:p>
      <w:pPr>
        <w:rPr>
          <w:color w:val="000000"/>
        </w:rPr>
      </w:pPr>
    </w:p>
    <w:p>
      <w:pPr>
        <w:rPr>
          <w:color w:val="000000"/>
        </w:rPr>
      </w:pPr>
    </w:p>
    <w:p>
      <w:pPr>
        <w:rPr>
          <w:color w:val="000000"/>
        </w:rPr>
      </w:pPr>
    </w:p>
    <w:p>
      <w:pPr>
        <w:rPr>
          <w:color w:val="000000"/>
        </w:rPr>
      </w:pPr>
    </w:p>
    <w:p>
      <w:pPr>
        <w:rPr>
          <w:color w:val="000000"/>
        </w:rPr>
        <w:sectPr>
          <w:footerReference r:id="rId7" w:type="default"/>
          <w:pgSz w:w="11906" w:h="16838"/>
          <w:pgMar w:top="1134" w:right="1418" w:bottom="1134" w:left="1418" w:header="851" w:footer="851" w:gutter="0"/>
          <w:cols w:space="720" w:num="1"/>
          <w:docGrid w:type="linesAndChars" w:linePitch="315" w:charSpace="0"/>
        </w:sectPr>
      </w:pPr>
    </w:p>
    <w:p>
      <w:pPr>
        <w:spacing w:line="600" w:lineRule="exact"/>
        <w:rPr>
          <w:rFonts w:hint="eastAsia" w:ascii="黑体" w:hAnsi="黑体" w:eastAsia="黑体"/>
          <w:sz w:val="32"/>
          <w:szCs w:val="32"/>
        </w:rPr>
      </w:pPr>
      <w:r>
        <w:rPr>
          <w:rFonts w:hint="eastAsia" w:ascii="黑体" w:hAnsi="黑体" w:eastAsia="黑体"/>
          <w:sz w:val="32"/>
          <w:szCs w:val="32"/>
        </w:rPr>
        <w:t>附件5</w:t>
      </w:r>
    </w:p>
    <w:p>
      <w:pPr>
        <w:spacing w:line="600" w:lineRule="exact"/>
        <w:ind w:left="-375" w:leftChars="-179"/>
        <w:jc w:val="center"/>
        <w:rPr>
          <w:rFonts w:hint="eastAsia" w:ascii="方正小标宋简体" w:eastAsia="方正小标宋简体"/>
          <w:color w:val="000000"/>
          <w:kern w:val="44"/>
          <w:sz w:val="44"/>
          <w:szCs w:val="44"/>
        </w:rPr>
      </w:pPr>
      <w:r>
        <w:rPr>
          <w:rFonts w:hint="eastAsia" w:ascii="黑体" w:hAnsi="黑体" w:eastAsia="黑体" w:cs="黑体"/>
          <w:sz w:val="44"/>
          <w:szCs w:val="44"/>
        </w:rPr>
        <w:drawing>
          <wp:anchor distT="0" distB="0" distL="114300" distR="114300" simplePos="0" relativeHeight="251659264" behindDoc="0" locked="0" layoutInCell="1" allowOverlap="1">
            <wp:simplePos x="0" y="0"/>
            <wp:positionH relativeFrom="column">
              <wp:posOffset>0</wp:posOffset>
            </wp:positionH>
            <wp:positionV relativeFrom="paragraph">
              <wp:posOffset>676275</wp:posOffset>
            </wp:positionV>
            <wp:extent cx="9008745" cy="4213225"/>
            <wp:effectExtent l="0" t="0" r="1905" b="15875"/>
            <wp:wrapTight wrapText="bothSides">
              <wp:wrapPolygon>
                <wp:start x="0" y="0"/>
                <wp:lineTo x="0" y="21486"/>
                <wp:lineTo x="21559" y="21486"/>
                <wp:lineTo x="21559" y="0"/>
                <wp:lineTo x="0" y="0"/>
              </wp:wrapPolygon>
            </wp:wrapTight>
            <wp:docPr id="1" name="图片 2" descr="说明: 说明: 1634699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说明: 1634699909(1)"/>
                    <pic:cNvPicPr>
                      <a:picLocks noChangeAspect="1"/>
                    </pic:cNvPicPr>
                  </pic:nvPicPr>
                  <pic:blipFill>
                    <a:blip r:embed="rId9"/>
                    <a:srcRect t="13629" r="-453"/>
                    <a:stretch>
                      <a:fillRect/>
                    </a:stretch>
                  </pic:blipFill>
                  <pic:spPr>
                    <a:xfrm>
                      <a:off x="0" y="0"/>
                      <a:ext cx="9008745" cy="4213225"/>
                    </a:xfrm>
                    <a:prstGeom prst="rect">
                      <a:avLst/>
                    </a:prstGeom>
                    <a:noFill/>
                    <a:ln>
                      <a:noFill/>
                    </a:ln>
                  </pic:spPr>
                </pic:pic>
              </a:graphicData>
            </a:graphic>
          </wp:anchor>
        </w:drawing>
      </w:r>
      <w:r>
        <w:rPr>
          <w:rFonts w:hint="eastAsia" w:ascii="黑体" w:hAnsi="黑体" w:eastAsia="黑体" w:cs="黑体"/>
          <w:sz w:val="44"/>
          <w:szCs w:val="44"/>
        </w:rPr>
        <w:t>一般疫苗安全事件应急处置流程</w:t>
      </w:r>
    </w:p>
    <w:p/>
    <w:p/>
    <w:p/>
    <w:p>
      <w:pPr>
        <w:ind w:left="-375" w:leftChars="-179"/>
        <w:jc w:val="center"/>
        <w:rPr>
          <w:rFonts w:hint="eastAsia" w:ascii="Times New Roman" w:hAnsi="Times New Roman" w:eastAsia="仿宋_GB2312"/>
          <w:color w:val="000000"/>
          <w:kern w:val="0"/>
          <w:sz w:val="32"/>
          <w:szCs w:val="32"/>
        </w:rPr>
      </w:pPr>
    </w:p>
    <w:p>
      <w:bookmarkStart w:id="0" w:name="_GoBack"/>
      <w:bookmarkEnd w:id="0"/>
    </w:p>
    <w:sectPr>
      <w:pgSz w:w="16838" w:h="11906" w:orient="landscape"/>
      <w:pgMar w:top="1418" w:right="1418" w:bottom="1304" w:left="1418" w:header="851" w:footer="851" w:gutter="0"/>
      <w:cols w:space="72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宋体"/>
    <w:panose1 w:val="00000000000000000000"/>
    <w:charset w:val="86"/>
    <w:family w:val="roman"/>
    <w:pitch w:val="default"/>
    <w:sig w:usb0="00000000" w:usb1="00000000" w:usb2="00000000" w:usb3="00000000" w:csb0="00040001" w:csb1="00000000"/>
  </w:font>
  <w:font w:name="Z@RFEEA.tmp">
    <w:altName w:val="Arial Unicode MS"/>
    <w:panose1 w:val="02010600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26</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25</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56" w:firstLineChars="163"/>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27</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B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2021-12-30T03:36:44Z</dcterms:created>
  <dc:creator>Administrator</dc:creator>
  <cp:lastModifiedBy>mage</cp:lastModifiedBy>
  <dcterms:modified xsi:type="dcterms:W3CDTF">2021-12-30T03:37:14Z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DD14ADB507F4496FA398F465EF77B5F7</vt:lpwstr>
  </property>
</Properties>
</file>