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8"/>
        </w:tabs>
        <w:autoSpaceDE w:val="0"/>
        <w:autoSpaceDN w:val="0"/>
        <w:adjustRightInd w:val="0"/>
        <w:spacing w:line="720" w:lineRule="exact"/>
        <w:jc w:val="center"/>
        <w:rPr>
          <w:rFonts w:ascii="方正小标宋_GBK" w:hAnsi="仿宋" w:eastAsia="方正小标宋_GBK" w:cs="宋体"/>
          <w:kern w:val="0"/>
          <w:sz w:val="44"/>
          <w:szCs w:val="44"/>
        </w:rPr>
      </w:pPr>
      <w:bookmarkStart w:id="0" w:name="_GoBack"/>
      <w:r>
        <w:rPr>
          <w:rFonts w:hint="eastAsia" w:ascii="方正小标宋_GBK" w:hAnsi="仿宋" w:eastAsia="方正小标宋_GBK" w:cs="宋体"/>
          <w:kern w:val="0"/>
          <w:sz w:val="44"/>
          <w:szCs w:val="44"/>
        </w:rPr>
        <w:t>鹤山市智慧停车收费标准方案</w:t>
      </w:r>
    </w:p>
    <w:bookmarkEnd w:id="0"/>
    <w:p>
      <w:pPr>
        <w:spacing w:line="720" w:lineRule="exact"/>
        <w:ind w:firstLine="640" w:firstLineChars="200"/>
        <w:rPr>
          <w:rFonts w:ascii="黑体" w:hAnsi="黑体" w:eastAsia="黑体" w:cs="黑体"/>
          <w:sz w:val="32"/>
          <w:szCs w:val="32"/>
        </w:rPr>
      </w:pPr>
    </w:p>
    <w:p>
      <w:pPr>
        <w:spacing w:line="540" w:lineRule="exact"/>
        <w:ind w:firstLine="720" w:firstLineChars="200"/>
        <w:rPr>
          <w:rFonts w:ascii="仿宋_GB2312" w:hAnsi="微软雅黑" w:eastAsia="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为规范停车秩序，缓解鹤山市城区范围内的交通和停车压力，充分利用公共停车资源，有效提高停车场泊位利用率和周转率，根据《江门市机动车停放服务收费管理实施细则》（江发改费管</w:t>
      </w:r>
      <w:r>
        <w:rPr>
          <w:rFonts w:ascii="仿宋_GB2312" w:hAnsi="微软雅黑" w:eastAsia="仿宋_GB2312" w:cs="仿宋_GB2312"/>
          <w:color w:val="333333"/>
          <w:spacing w:val="20"/>
          <w:kern w:val="0"/>
          <w:sz w:val="32"/>
          <w:szCs w:val="32"/>
        </w:rPr>
        <w:t>[2017]1302</w:t>
      </w:r>
      <w:r>
        <w:rPr>
          <w:rFonts w:hint="eastAsia" w:ascii="仿宋_GB2312" w:hAnsi="微软雅黑" w:eastAsia="仿宋_GB2312" w:cs="仿宋_GB2312"/>
          <w:color w:val="333333"/>
          <w:spacing w:val="20"/>
          <w:kern w:val="0"/>
          <w:sz w:val="32"/>
          <w:szCs w:val="32"/>
        </w:rPr>
        <w:t>号）有关规定，综合考虑停车运行成本，市场需求及社会承受能力等因素，经研究，我局拟定鹤山市智慧停车收费标准如下：</w:t>
      </w:r>
    </w:p>
    <w:p>
      <w:pPr>
        <w:spacing w:line="540" w:lineRule="exact"/>
        <w:ind w:firstLine="720" w:firstLineChars="200"/>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一、收费范围</w:t>
      </w:r>
    </w:p>
    <w:p>
      <w:pPr>
        <w:spacing w:line="540" w:lineRule="exact"/>
        <w:ind w:firstLine="720" w:firstLineChars="200"/>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沙坪城区道路智慧路内泊位6450个。</w:t>
      </w:r>
    </w:p>
    <w:p>
      <w:pPr>
        <w:spacing w:line="540" w:lineRule="exact"/>
        <w:ind w:firstLine="720" w:firstLineChars="200"/>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首期实施以市政府为中心的周边辐射区域，横向道路有新环路、新业路、新城路、新鹤路、前进路、人民路、经华路等，纵向道路有富华路、中山路、新华路、裕民路、东升路等，建设智慧路内泊位2481个，剩余车位分两期在两年内完成。</w:t>
      </w:r>
    </w:p>
    <w:p>
      <w:pPr>
        <w:spacing w:line="540" w:lineRule="exact"/>
        <w:ind w:firstLine="720" w:firstLineChars="200"/>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二、收费时段</w:t>
      </w:r>
    </w:p>
    <w:p>
      <w:pPr>
        <w:spacing w:line="540" w:lineRule="exact"/>
        <w:ind w:firstLine="720" w:firstLineChars="200"/>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参照江门市城区智慧停车收费时段，拟定路边车位停车收费时间设在早上8点至晚上8点，其余时间段不收费。</w:t>
      </w:r>
    </w:p>
    <w:p>
      <w:pPr>
        <w:spacing w:line="540" w:lineRule="exact"/>
        <w:ind w:firstLine="720" w:firstLineChars="200"/>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三、收费标准</w:t>
      </w:r>
    </w:p>
    <w:p>
      <w:pPr>
        <w:spacing w:line="540" w:lineRule="exact"/>
        <w:ind w:firstLine="720" w:firstLineChars="200"/>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通过分路段（一类、二类、三类）阶梯式的方法实施收费，鼓励车主缩短停车时间，加快停车位周转率。根据我市实际，参照周边城市智慧停车收费标准，拟定以下方式和收费标准计费：</w:t>
      </w:r>
    </w:p>
    <w:p>
      <w:pPr>
        <w:spacing w:line="540" w:lineRule="exact"/>
        <w:ind w:firstLine="2700" w:firstLineChars="750"/>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停车收费标准指导价</w:t>
      </w:r>
    </w:p>
    <w:tbl>
      <w:tblPr>
        <w:tblStyle w:val="2"/>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409"/>
        <w:gridCol w:w="1409"/>
        <w:gridCol w:w="218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09" w:type="dxa"/>
            <w:tcBorders>
              <w:top w:val="single" w:color="auto" w:sz="4" w:space="0"/>
              <w:left w:val="single" w:color="auto" w:sz="4" w:space="0"/>
              <w:bottom w:val="single" w:color="auto" w:sz="4" w:space="0"/>
              <w:right w:val="single" w:color="auto" w:sz="4" w:space="0"/>
            </w:tcBorders>
            <w:noWrap/>
            <w:vAlign w:val="top"/>
          </w:tcPr>
          <w:p>
            <w:pPr>
              <w:widowControl/>
              <w:spacing w:line="360" w:lineRule="auto"/>
              <w:ind w:firstLine="525" w:firstLineChars="250"/>
              <w:jc w:val="left"/>
              <w:rPr>
                <w:rFonts w:ascii="仿宋_GB2312" w:hAnsi="Calibri" w:eastAsia="仿宋_GB2312"/>
                <w:kern w:val="0"/>
                <w:sz w:val="24"/>
              </w:rPr>
            </w:pPr>
            <w: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17780</wp:posOffset>
                      </wp:positionV>
                      <wp:extent cx="838200" cy="556260"/>
                      <wp:effectExtent l="2540" t="3810" r="16510" b="11430"/>
                      <wp:wrapNone/>
                      <wp:docPr id="4" name="直接连接符 4"/>
                      <wp:cNvGraphicFramePr/>
                      <a:graphic xmlns:a="http://schemas.openxmlformats.org/drawingml/2006/main">
                        <a:graphicData uri="http://schemas.microsoft.com/office/word/2010/wordprocessingShape">
                          <wps:wsp>
                            <wps:cNvCnPr/>
                            <wps:spPr>
                              <a:xfrm>
                                <a:off x="0" y="0"/>
                                <a:ext cx="838200" cy="5562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75pt;margin-top:1.4pt;height:43.8pt;width:66pt;z-index:251659264;mso-width-relative:page;mso-height-relative:page;" filled="f" stroked="t" insetpen="f" coordsize="21600,21600" o:gfxdata="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eT&#10;4grVAAAABwEAAA8AAAAAAAAAAQAgAAAAIgAAAGRycy9kb3ducmV2LnhtbFBLAQIUABQAAAAIAIdO&#10;4kCqrpuU7QEAAKoDAAAOAAAAAAAAAAEAIAAAACQBAABkcnMvZTJvRG9jLnhtbFBLBQYAAAAABgAG&#10;AFkBAACDBQAAAAA=&#10;">
                      <v:path arrowok="t"/>
                      <v:fill on="f" focussize="0,0"/>
                      <v:stroke/>
                      <v:imagedata o:title=""/>
                      <o:lock v:ext="edit"/>
                    </v:line>
                  </w:pict>
                </mc:Fallback>
              </mc:AlternateContent>
            </w:r>
            <w:r>
              <w:rPr>
                <w:rFonts w:hint="eastAsia" w:ascii="仿宋_GB2312" w:hAnsi="Calibri" w:eastAsia="仿宋_GB2312"/>
                <w:kern w:val="0"/>
                <w:sz w:val="24"/>
              </w:rPr>
              <w:t>时间</w:t>
            </w:r>
          </w:p>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分类</w:t>
            </w:r>
          </w:p>
        </w:tc>
        <w:tc>
          <w:tcPr>
            <w:tcW w:w="1409"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首3小时</w:t>
            </w:r>
          </w:p>
        </w:tc>
        <w:tc>
          <w:tcPr>
            <w:tcW w:w="1409"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3小时后</w:t>
            </w:r>
          </w:p>
        </w:tc>
        <w:tc>
          <w:tcPr>
            <w:tcW w:w="218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24小时最高收费</w:t>
            </w:r>
          </w:p>
        </w:tc>
        <w:tc>
          <w:tcPr>
            <w:tcW w:w="2551" w:type="dxa"/>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拟具体路段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一类路段</w:t>
            </w:r>
          </w:p>
        </w:tc>
        <w:tc>
          <w:tcPr>
            <w:tcW w:w="1409"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3元/小时</w:t>
            </w:r>
          </w:p>
        </w:tc>
        <w:tc>
          <w:tcPr>
            <w:tcW w:w="1409"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4元/小时</w:t>
            </w:r>
          </w:p>
        </w:tc>
        <w:tc>
          <w:tcPr>
            <w:tcW w:w="2186" w:type="dxa"/>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20元</w:t>
            </w:r>
          </w:p>
        </w:tc>
        <w:tc>
          <w:tcPr>
            <w:tcW w:w="2551" w:type="dxa"/>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由相关部门确定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二类路段</w:t>
            </w:r>
          </w:p>
        </w:tc>
        <w:tc>
          <w:tcPr>
            <w:tcW w:w="1409"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2元/小时</w:t>
            </w:r>
          </w:p>
        </w:tc>
        <w:tc>
          <w:tcPr>
            <w:tcW w:w="1409"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3元/小时</w:t>
            </w:r>
          </w:p>
        </w:tc>
        <w:tc>
          <w:tcPr>
            <w:tcW w:w="2186" w:type="dxa"/>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15元</w:t>
            </w:r>
          </w:p>
        </w:tc>
        <w:tc>
          <w:tcPr>
            <w:tcW w:w="2551" w:type="dxa"/>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由相关部门确定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仿宋_GB2312" w:hAnsi="Calibri" w:eastAsia="仿宋_GB2312"/>
                <w:kern w:val="0"/>
                <w:sz w:val="24"/>
              </w:rPr>
            </w:pPr>
            <w:r>
              <w:rPr>
                <w:rFonts w:hint="eastAsia" w:ascii="仿宋_GB2312" w:hAnsi="Calibri" w:eastAsia="仿宋_GB2312"/>
                <w:kern w:val="0"/>
                <w:sz w:val="24"/>
              </w:rPr>
              <w:t>三类路段</w:t>
            </w:r>
          </w:p>
        </w:tc>
        <w:tc>
          <w:tcPr>
            <w:tcW w:w="2818" w:type="dxa"/>
            <w:gridSpan w:val="2"/>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1元/小时</w:t>
            </w:r>
          </w:p>
        </w:tc>
        <w:tc>
          <w:tcPr>
            <w:tcW w:w="2186" w:type="dxa"/>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10元</w:t>
            </w:r>
          </w:p>
        </w:tc>
        <w:tc>
          <w:tcPr>
            <w:tcW w:w="2551" w:type="dxa"/>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由相关部门确定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964" w:type="dxa"/>
            <w:gridSpan w:val="5"/>
            <w:tcBorders>
              <w:top w:val="single" w:color="auto" w:sz="4" w:space="0"/>
              <w:left w:val="single" w:color="auto" w:sz="4" w:space="0"/>
              <w:bottom w:val="single" w:color="auto" w:sz="4" w:space="0"/>
              <w:right w:val="single" w:color="auto" w:sz="4" w:space="0"/>
            </w:tcBorders>
            <w:noWrap/>
            <w:vAlign w:val="top"/>
          </w:tcPr>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备注：1、路边停车收费时段为每天8:00—20:00（具体时间段可另行拟定）；</w:t>
            </w:r>
          </w:p>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2、停车不超过30分钟（含）免费；</w:t>
            </w:r>
          </w:p>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3、停车超过30分钟后，每30分钟按小时标准折半计费，不足30分钟的按30分钟计费；</w:t>
            </w:r>
          </w:p>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4、路边停车收费以自然天24小时为一计费周期。</w:t>
            </w:r>
          </w:p>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5、免收费车辆。对实施救助的医院救护车辆、执行公务的军警车辆、市政工程抢修车辆、救灾抢修车辆以及法律法规规定的免费车辆免收停车服务费。</w:t>
            </w:r>
          </w:p>
          <w:p>
            <w:pPr>
              <w:widowControl/>
              <w:spacing w:line="360" w:lineRule="auto"/>
              <w:ind w:firstLine="480" w:firstLineChars="200"/>
              <w:jc w:val="left"/>
              <w:rPr>
                <w:rFonts w:ascii="仿宋_GB2312" w:hAnsi="Calibri" w:eastAsia="仿宋_GB2312"/>
                <w:kern w:val="0"/>
                <w:sz w:val="24"/>
              </w:rPr>
            </w:pPr>
            <w:r>
              <w:rPr>
                <w:rFonts w:hint="eastAsia" w:ascii="仿宋_GB2312" w:hAnsi="Calibri" w:eastAsia="仿宋_GB2312"/>
                <w:kern w:val="0"/>
                <w:sz w:val="24"/>
              </w:rPr>
              <w:t>6、可考虑举行重大活动或节假日期间，免收停车费。</w:t>
            </w:r>
          </w:p>
        </w:tc>
      </w:tr>
    </w:tbl>
    <w:p>
      <w:pPr>
        <w:widowControl/>
        <w:spacing w:line="560" w:lineRule="exact"/>
        <w:rPr>
          <w:rFonts w:ascii="仿宋_GB2312" w:hAnsi="宋体" w:eastAsia="仿宋_GB2312" w:cs="宋体"/>
          <w:kern w:val="0"/>
          <w:sz w:val="32"/>
          <w:szCs w:val="32"/>
        </w:rPr>
      </w:pPr>
    </w:p>
    <w:p>
      <w:pPr>
        <w:widowControl/>
        <w:autoSpaceDE w:val="0"/>
        <w:autoSpaceDN w:val="0"/>
        <w:adjustRightInd w:val="0"/>
        <w:spacing w:line="560" w:lineRule="exact"/>
        <w:ind w:firstLine="624"/>
        <w:jc w:val="left"/>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收费标准根据社会经济发展水平动态调整，报相关职能部门批准后执行。</w:t>
      </w:r>
    </w:p>
    <w:p>
      <w:pPr>
        <w:widowControl/>
        <w:autoSpaceDE w:val="0"/>
        <w:autoSpaceDN w:val="0"/>
        <w:adjustRightInd w:val="0"/>
        <w:spacing w:line="560" w:lineRule="exact"/>
        <w:ind w:firstLine="624"/>
        <w:jc w:val="left"/>
        <w:rPr>
          <w:rFonts w:ascii="仿宋_GB2312" w:hAnsi="微软雅黑" w:eastAsia="仿宋_GB2312" w:cs="仿宋_GB2312"/>
          <w:color w:val="333333"/>
          <w:spacing w:val="20"/>
          <w:kern w:val="0"/>
          <w:sz w:val="32"/>
          <w:szCs w:val="32"/>
        </w:rPr>
      </w:pPr>
      <w:r>
        <w:rPr>
          <w:rFonts w:hint="eastAsia" w:ascii="仿宋_GB2312" w:hAnsi="微软雅黑" w:eastAsia="仿宋_GB2312" w:cs="仿宋_GB2312"/>
          <w:color w:val="333333"/>
          <w:spacing w:val="20"/>
          <w:kern w:val="0"/>
          <w:sz w:val="32"/>
          <w:szCs w:val="32"/>
        </w:rPr>
        <w:t>为适应停车需求变化，各类路段分类每年结合鹤山市智慧停车引导系统收集的车位周转率数据及其他方面情况报相关职能部门批准后进行适当调整。</w:t>
      </w:r>
    </w:p>
    <w:p>
      <w:pPr>
        <w:spacing w:line="560" w:lineRule="exact"/>
        <w:jc w:val="lef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鹤山市发展和改革局</w:t>
      </w:r>
    </w:p>
    <w:p>
      <w:pPr>
        <w:spacing w:line="560" w:lineRule="exact"/>
        <w:ind w:right="320"/>
        <w:jc w:val="right"/>
        <w:rPr>
          <w:rFonts w:ascii="仿宋" w:hAnsi="仿宋" w:eastAsia="仿宋" w:cs="仿宋"/>
          <w:sz w:val="32"/>
          <w:szCs w:val="32"/>
        </w:rPr>
      </w:pPr>
      <w:r>
        <w:rPr>
          <w:rFonts w:hint="eastAsia" w:ascii="仿宋" w:hAnsi="仿宋" w:eastAsia="仿宋" w:cs="仿宋"/>
          <w:sz w:val="32"/>
          <w:szCs w:val="32"/>
        </w:rPr>
        <w:t>2021年9月2日</w:t>
      </w:r>
    </w:p>
    <w:p>
      <w:pPr>
        <w:spacing w:line="520" w:lineRule="exact"/>
        <w:ind w:firstLine="640" w:firstLineChars="200"/>
        <w:jc w:val="lef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5D74E3-EABD-40BF-88E1-C1308DC7BA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9B84769-13DA-4605-8D62-B50C583ECF43}"/>
  </w:font>
  <w:font w:name="等线">
    <w:altName w:val="Arial Unicode MS"/>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BF475E48-B50B-4E7E-BF44-1A38A54A267D}"/>
  </w:font>
  <w:font w:name="仿宋">
    <w:panose1 w:val="02010609060101010101"/>
    <w:charset w:val="86"/>
    <w:family w:val="modern"/>
    <w:pitch w:val="default"/>
    <w:sig w:usb0="800002BF" w:usb1="38CF7CFA" w:usb2="00000016" w:usb3="00000000" w:csb0="00040001" w:csb1="00000000"/>
    <w:embedRegular r:id="rId4" w:fontKey="{B6220A63-79B7-430B-9CB9-B2BA5ECAAAFB}"/>
  </w:font>
  <w:font w:name="仿宋_GB2312">
    <w:panose1 w:val="02010609030101010101"/>
    <w:charset w:val="86"/>
    <w:family w:val="modern"/>
    <w:pitch w:val="default"/>
    <w:sig w:usb0="00000001" w:usb1="080E0000" w:usb2="00000000" w:usb3="00000000" w:csb0="00040000" w:csb1="00000000"/>
    <w:embedRegular r:id="rId5" w:fontKey="{13248293-27A0-4EE9-94CB-2BE265DD1FA1}"/>
  </w:font>
  <w:font w:name="微软雅黑">
    <w:panose1 w:val="020B0503020204020204"/>
    <w:charset w:val="86"/>
    <w:family w:val="swiss"/>
    <w:pitch w:val="default"/>
    <w:sig w:usb0="80000287" w:usb1="280F3C52" w:usb2="00000016" w:usb3="00000000" w:csb0="0004001F" w:csb1="00000000"/>
    <w:embedRegular r:id="rId6" w:fontKey="{DCAAAC43-C7DC-406D-A325-54687FEE17A8}"/>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9599F"/>
    <w:rsid w:val="23C92DF0"/>
    <w:rsid w:val="62395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2021-09-02T09:04:00Z</dcterms:created>
  <dc:creator>陈囧浩</dc:creator>
  <cp:lastModifiedBy>陈囧浩</cp:lastModifiedBy>
  <dcterms:modified xsi:type="dcterms:W3CDTF">2021-09-02T09:06:49Z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