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right="0" w:firstLine="0" w:firstLineChars="0"/>
        <w:jc w:val="left"/>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附件</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2</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项目</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服务要求</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一、项目概况与要求</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采购短信息量为90</w:t>
      </w:r>
      <w:bookmarkStart w:id="0" w:name="_GoBack"/>
      <w:bookmarkEnd w:id="0"/>
      <w:r>
        <w:rPr>
          <w:rFonts w:hint="default" w:ascii="Times New Roman" w:hAnsi="Times New Roman" w:eastAsia="方正仿宋_GBK" w:cs="Times New Roman"/>
          <w:color w:val="000000" w:themeColor="text1"/>
          <w:sz w:val="32"/>
          <w:szCs w:val="32"/>
          <w14:textFill>
            <w14:solidFill>
              <w14:schemeClr w14:val="tx1"/>
            </w14:solidFill>
          </w14:textFill>
        </w:rPr>
        <w:t>万条以及数据清洗发送服务，同时须符合以下要求：</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具备大数据开发、数据清洗治理能力，能够根据采购人要求筛选目标三网用户，并提供信息保密发送服务能力；</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系统需要具备短消息自定义签名、模板、业务统计功能；</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系统需要具备电信级运维保障和高并发服务能力。</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（一）项目实施地点：鹤山市，具体地点由采购人指定。</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（二）项目完成时间：协议签订后3个工作日内系统服务应具备上线条件。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（三）具有政务平台异地灾备、政务大数据分析平台项目经验，曾与我单位的其他信息化系统有服务合作者优先考虑。</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（四）有政府、事业单位短信息服务项目经验的优先考虑。</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（五）供应商或其上级公司属于广东省大数据协会会长/理事单位，具有信息安全管理体系认证证书，具有丰富的短信息发送服务经验，能提供7*24小时系统运维服务的优先考虑。</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（六）在鹤山本地具有服务队伍，且能够提供及时的技术服务。</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二、供应商的资格要求：</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1、供应商应当具备《政府采购法》第二十二条规定的条件；</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2、供应商应当是具有合法经营资格的法人或其他组织，具有良好的信誉；</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3、供应商（或其上级公司）需具有业务覆盖范围涵盖鹤山市的基础电信业务经营许可证或增值电信业务经营许可证。</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4、单位负责人为同一人或者存在直接控股、管理关系的不同供应商，不得参加同一合同项下的政府采购活动。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5、供应商未被列入“信用中国”网站（www.creditchina.gov.cn）“失信被执行人或重大税收违法案件当事人名单或政府采购严重违法失信行为”记录名单；不处于中国政府采购网（www.ccgp.gov.cn）“政府采购严重违法失信行为信息记录”中的禁止参加政府采购活动期间；</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6、本项目不接受联合体投标，不允许转包或分包项目。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C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2021-04-15T01:10:30Z</dcterms:created>
  <dc:creator>Administrator</dc:creator>
  <cp:lastModifiedBy>张文剑</cp:lastModifiedBy>
  <dcterms:modified xsi:type="dcterms:W3CDTF">2021-04-15T01:11:00Z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31EA582D8F594F1494DEE3D1CB7A6897</vt:lpwstr>
  </property>
</Properties>
</file>